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E52DA">
      <w:pPr>
        <w:pStyle w:val="326"/>
        <w:ind w:firstLine="0"/>
        <w:rPr>
          <w:rFonts w:eastAsia="黑体"/>
          <w:b/>
          <w:bCs/>
          <w:color w:val="auto"/>
          <w:sz w:val="84"/>
          <w:highlight w:val="none"/>
        </w:rPr>
      </w:pPr>
    </w:p>
    <w:p w14:paraId="71E126FB">
      <w:pPr>
        <w:pStyle w:val="326"/>
        <w:ind w:firstLine="0"/>
        <w:jc w:val="center"/>
        <w:rPr>
          <w:rFonts w:eastAsia="黑体"/>
          <w:b/>
          <w:bCs/>
          <w:color w:val="auto"/>
          <w:sz w:val="84"/>
          <w:highlight w:val="none"/>
        </w:rPr>
      </w:pPr>
      <w:r>
        <w:rPr>
          <w:rFonts w:hint="eastAsia" w:eastAsia="黑体"/>
          <w:b/>
          <w:bCs/>
          <w:color w:val="auto"/>
          <w:sz w:val="84"/>
          <w:highlight w:val="none"/>
        </w:rPr>
        <w:t>招　标　文　件</w:t>
      </w:r>
    </w:p>
    <w:p w14:paraId="7EA1DAA0">
      <w:pPr>
        <w:pStyle w:val="326"/>
        <w:ind w:firstLine="2249"/>
        <w:rPr>
          <w:b/>
          <w:bCs/>
          <w:color w:val="auto"/>
          <w:sz w:val="32"/>
          <w:highlight w:val="none"/>
        </w:rPr>
      </w:pPr>
    </w:p>
    <w:p w14:paraId="008F78B4">
      <w:pPr>
        <w:pStyle w:val="326"/>
        <w:ind w:firstLine="2249"/>
        <w:rPr>
          <w:b/>
          <w:bCs/>
          <w:color w:val="auto"/>
          <w:spacing w:val="-20"/>
          <w:sz w:val="32"/>
          <w:highlight w:val="none"/>
        </w:rPr>
      </w:pPr>
    </w:p>
    <w:p w14:paraId="198FB871">
      <w:pPr>
        <w:pStyle w:val="326"/>
        <w:ind w:left="0" w:firstLine="643"/>
        <w:rPr>
          <w:rFonts w:hint="default" w:eastAsia="宋体" w:cs="Times New Roman"/>
          <w:b/>
          <w:bCs/>
          <w:color w:val="auto"/>
          <w:spacing w:val="0"/>
          <w:sz w:val="32"/>
          <w:highlight w:val="none"/>
          <w:lang w:val="en-US" w:eastAsia="zh-CN"/>
        </w:rPr>
      </w:pPr>
      <w:r>
        <w:rPr>
          <w:rFonts w:hint="eastAsia"/>
          <w:b/>
          <w:bCs/>
          <w:color w:val="auto"/>
          <w:spacing w:val="0"/>
          <w:sz w:val="32"/>
          <w:highlight w:val="none"/>
        </w:rPr>
        <w:t>项目名称：</w:t>
      </w:r>
      <w:r>
        <w:rPr>
          <w:rFonts w:hint="eastAsia"/>
          <w:b/>
          <w:bCs/>
          <w:color w:val="auto"/>
          <w:spacing w:val="0"/>
          <w:sz w:val="32"/>
          <w:highlight w:val="none"/>
          <w:lang w:val="en-US" w:eastAsia="zh-CN"/>
        </w:rPr>
        <w:t>仪征市中医院辅医与物流服务项目（二次）</w:t>
      </w:r>
    </w:p>
    <w:p w14:paraId="6DA7A07F">
      <w:pPr>
        <w:pStyle w:val="326"/>
        <w:ind w:left="0" w:firstLine="643"/>
        <w:rPr>
          <w:rFonts w:hint="eastAsia" w:cs="Times New Roman"/>
          <w:b/>
          <w:bCs/>
          <w:color w:val="auto"/>
          <w:spacing w:val="0"/>
          <w:sz w:val="32"/>
          <w:highlight w:val="none"/>
          <w:lang w:val="en-US" w:eastAsia="zh-CN"/>
        </w:rPr>
      </w:pPr>
      <w:r>
        <w:rPr>
          <w:rFonts w:hint="eastAsia" w:cs="Times New Roman"/>
          <w:b/>
          <w:bCs/>
          <w:color w:val="auto"/>
          <w:spacing w:val="0"/>
          <w:sz w:val="32"/>
          <w:highlight w:val="none"/>
          <w:lang w:val="en-US" w:eastAsia="zh-CN"/>
        </w:rPr>
        <w:t>项目编号：</w:t>
      </w:r>
      <w:bookmarkStart w:id="88" w:name="_GoBack"/>
      <w:bookmarkEnd w:id="88"/>
      <w:r>
        <w:rPr>
          <w:rFonts w:hint="eastAsia" w:cs="Times New Roman"/>
          <w:b/>
          <w:bCs/>
          <w:color w:val="auto"/>
          <w:spacing w:val="0"/>
          <w:sz w:val="32"/>
          <w:highlight w:val="none"/>
          <w:lang w:val="en-US" w:eastAsia="zh-CN"/>
        </w:rPr>
        <w:t>JSZC-321081-JSHY-G2025-0453</w:t>
      </w:r>
    </w:p>
    <w:p w14:paraId="21153A79">
      <w:pPr>
        <w:pStyle w:val="326"/>
        <w:ind w:left="0" w:firstLine="643"/>
        <w:rPr>
          <w:rFonts w:hint="default" w:cs="Times New Roman"/>
          <w:b/>
          <w:bCs/>
          <w:color w:val="auto"/>
          <w:spacing w:val="0"/>
          <w:sz w:val="32"/>
          <w:highlight w:val="none"/>
          <w:lang w:val="en-US" w:eastAsia="zh-CN"/>
        </w:rPr>
      </w:pPr>
      <w:r>
        <w:rPr>
          <w:rFonts w:hint="eastAsia" w:cs="Times New Roman"/>
          <w:b/>
          <w:bCs/>
          <w:color w:val="auto"/>
          <w:spacing w:val="0"/>
          <w:sz w:val="32"/>
          <w:highlight w:val="none"/>
          <w:lang w:val="en-US" w:eastAsia="zh-CN"/>
        </w:rPr>
        <w:t>代理机构识别号：1009-2541HOLLYF62</w:t>
      </w:r>
    </w:p>
    <w:p w14:paraId="20D6DCF2">
      <w:pPr>
        <w:pStyle w:val="326"/>
        <w:spacing w:before="0" w:after="0"/>
        <w:ind w:firstLine="0"/>
        <w:rPr>
          <w:rFonts w:ascii="宋体" w:hAnsi="宋体"/>
          <w:color w:val="auto"/>
          <w:highlight w:val="none"/>
        </w:rPr>
      </w:pPr>
    </w:p>
    <w:p w14:paraId="1EADEF77">
      <w:pPr>
        <w:pStyle w:val="326"/>
        <w:spacing w:before="0" w:after="0"/>
        <w:ind w:firstLine="0"/>
        <w:rPr>
          <w:rFonts w:ascii="宋体" w:hAnsi="宋体"/>
          <w:color w:val="auto"/>
          <w:highlight w:val="none"/>
        </w:rPr>
      </w:pPr>
    </w:p>
    <w:p w14:paraId="0392D7A6">
      <w:pPr>
        <w:pStyle w:val="326"/>
        <w:spacing w:before="0" w:after="0"/>
        <w:ind w:firstLine="0"/>
        <w:rPr>
          <w:rFonts w:ascii="宋体" w:hAnsi="宋体"/>
          <w:color w:val="auto"/>
          <w:highlight w:val="none"/>
        </w:rPr>
      </w:pPr>
    </w:p>
    <w:p w14:paraId="2550089D">
      <w:pPr>
        <w:pStyle w:val="326"/>
        <w:spacing w:before="0" w:after="0"/>
        <w:ind w:firstLine="0"/>
        <w:rPr>
          <w:rFonts w:ascii="宋体" w:hAnsi="宋体"/>
          <w:color w:val="auto"/>
          <w:highlight w:val="none"/>
        </w:rPr>
      </w:pPr>
    </w:p>
    <w:p w14:paraId="470CE81E">
      <w:pPr>
        <w:pStyle w:val="326"/>
        <w:spacing w:before="0" w:after="0"/>
        <w:ind w:firstLine="0"/>
        <w:rPr>
          <w:rFonts w:ascii="宋体" w:hAnsi="宋体"/>
          <w:color w:val="auto"/>
          <w:highlight w:val="none"/>
        </w:rPr>
      </w:pPr>
    </w:p>
    <w:p w14:paraId="610A6233">
      <w:pPr>
        <w:pStyle w:val="326"/>
        <w:ind w:firstLine="0"/>
        <w:jc w:val="center"/>
        <w:rPr>
          <w:rFonts w:hint="eastAsia"/>
          <w:b/>
          <w:bCs/>
          <w:color w:val="auto"/>
          <w:sz w:val="32"/>
          <w:highlight w:val="none"/>
        </w:rPr>
      </w:pPr>
      <w:r>
        <w:rPr>
          <w:rFonts w:hint="eastAsia"/>
          <w:b/>
          <w:bCs/>
          <w:color w:val="auto"/>
          <w:sz w:val="32"/>
          <w:highlight w:val="none"/>
        </w:rPr>
        <w:t>江苏弘业国际技术工程有限公司</w:t>
      </w:r>
    </w:p>
    <w:p w14:paraId="669C3845">
      <w:pPr>
        <w:pStyle w:val="326"/>
        <w:ind w:firstLine="0"/>
        <w:jc w:val="center"/>
        <w:rPr>
          <w:b/>
          <w:bCs/>
          <w:color w:val="auto"/>
          <w:sz w:val="32"/>
          <w:highlight w:val="none"/>
        </w:rPr>
      </w:pPr>
      <w:r>
        <w:rPr>
          <w:rFonts w:hint="eastAsia"/>
          <w:b/>
          <w:bCs/>
          <w:color w:val="auto"/>
          <w:sz w:val="32"/>
          <w:highlight w:val="none"/>
          <w:lang w:val="en-US" w:eastAsia="zh-CN"/>
        </w:rPr>
        <w:t>2025</w:t>
      </w:r>
      <w:r>
        <w:rPr>
          <w:rFonts w:hint="eastAsia"/>
          <w:b/>
          <w:bCs/>
          <w:color w:val="auto"/>
          <w:sz w:val="32"/>
          <w:highlight w:val="none"/>
        </w:rPr>
        <w:t>年</w:t>
      </w:r>
      <w:r>
        <w:rPr>
          <w:rFonts w:hint="eastAsia"/>
          <w:b/>
          <w:bCs/>
          <w:color w:val="auto"/>
          <w:sz w:val="32"/>
          <w:highlight w:val="none"/>
          <w:lang w:val="en-US" w:eastAsia="zh-CN"/>
        </w:rPr>
        <w:t>11</w:t>
      </w:r>
      <w:r>
        <w:rPr>
          <w:rFonts w:hint="eastAsia"/>
          <w:b/>
          <w:bCs/>
          <w:color w:val="auto"/>
          <w:sz w:val="32"/>
          <w:highlight w:val="none"/>
        </w:rPr>
        <w:t>月</w:t>
      </w:r>
    </w:p>
    <w:p w14:paraId="70715040">
      <w:pPr>
        <w:pStyle w:val="326"/>
        <w:ind w:firstLine="0"/>
        <w:rPr>
          <w:color w:val="auto"/>
          <w:highlight w:val="none"/>
          <w:u w:val="single"/>
        </w:rPr>
      </w:pPr>
      <w:r>
        <w:rPr>
          <w:rFonts w:hint="eastAsia"/>
          <w:color w:val="auto"/>
          <w:highlight w:val="none"/>
        </w:rPr>
        <w:t xml:space="preserve">                        </w:t>
      </w:r>
    </w:p>
    <w:p w14:paraId="588E784F">
      <w:pPr>
        <w:pStyle w:val="326"/>
        <w:ind w:firstLine="0"/>
        <w:jc w:val="center"/>
        <w:rPr>
          <w:color w:val="auto"/>
          <w:highlight w:val="none"/>
        </w:rPr>
      </w:pPr>
    </w:p>
    <w:p w14:paraId="05D0D925">
      <w:pPr>
        <w:spacing w:line="480" w:lineRule="auto"/>
        <w:jc w:val="center"/>
        <w:outlineLvl w:val="0"/>
        <w:rPr>
          <w:rFonts w:ascii="黑体" w:hAnsi="Arial" w:eastAsia="黑体"/>
          <w:b/>
          <w:color w:val="auto"/>
          <w:sz w:val="44"/>
          <w:highlight w:val="none"/>
        </w:rPr>
      </w:pPr>
      <w:r>
        <w:rPr>
          <w:color w:val="auto"/>
          <w:highlight w:val="none"/>
        </w:rPr>
        <w:br w:type="page" w:clear="all"/>
      </w:r>
      <w:bookmarkStart w:id="0" w:name="_Toc120614210"/>
      <w:bookmarkStart w:id="1" w:name="_Toc20823272"/>
      <w:bookmarkStart w:id="2" w:name="_Toc479757206"/>
      <w:bookmarkStart w:id="3" w:name="_Toc513029200"/>
      <w:bookmarkStart w:id="4" w:name="_Toc16938516"/>
      <w:bookmarkStart w:id="5" w:name="_Toc523127445"/>
      <w:r>
        <w:rPr>
          <w:rFonts w:hint="eastAsia"/>
          <w:color w:val="auto"/>
          <w:highlight w:val="none"/>
        </w:rPr>
        <w:t xml:space="preserve"> </w:t>
      </w:r>
      <w:r>
        <w:rPr>
          <w:rFonts w:hint="eastAsia" w:ascii="黑体" w:hAnsi="Arial" w:eastAsia="黑体"/>
          <w:b/>
          <w:color w:val="auto"/>
          <w:sz w:val="44"/>
          <w:highlight w:val="none"/>
        </w:rPr>
        <w:t>总  目  录</w:t>
      </w:r>
    </w:p>
    <w:p w14:paraId="76BF94EC">
      <w:pPr>
        <w:spacing w:line="480" w:lineRule="auto"/>
        <w:rPr>
          <w:rFonts w:ascii="仿宋_GB2312" w:hAnsi="Arial" w:eastAsia="仿宋_GB2312"/>
          <w:b/>
          <w:color w:val="auto"/>
          <w:sz w:val="28"/>
          <w:highlight w:val="none"/>
        </w:rPr>
      </w:pPr>
    </w:p>
    <w:p w14:paraId="6CBB4639">
      <w:pPr>
        <w:numPr>
          <w:ilvl w:val="0"/>
          <w:numId w:val="6"/>
        </w:numPr>
        <w:spacing w:line="480" w:lineRule="auto"/>
        <w:outlineLvl w:val="0"/>
        <w:rPr>
          <w:rFonts w:ascii="黑体" w:hAnsi="Showcard Gothic" w:eastAsia="黑体"/>
          <w:color w:val="auto"/>
          <w:sz w:val="32"/>
          <w:highlight w:val="none"/>
        </w:rPr>
      </w:pPr>
      <w:r>
        <w:rPr>
          <w:rFonts w:hint="eastAsia" w:ascii="黑体" w:hAnsi="宋体" w:eastAsia="黑体"/>
          <w:color w:val="auto"/>
          <w:sz w:val="36"/>
          <w:highlight w:val="none"/>
        </w:rPr>
        <w:t>投标邀请</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w:t>
      </w:r>
      <w:r>
        <w:rPr>
          <w:rFonts w:hint="eastAsia" w:ascii="黑体" w:hAnsi="Showcard Gothic" w:eastAsia="黑体"/>
          <w:color w:val="auto"/>
          <w:sz w:val="36"/>
          <w:highlight w:val="none"/>
        </w:rPr>
        <w:t xml:space="preserve"> </w:t>
      </w:r>
    </w:p>
    <w:p w14:paraId="3802C1BC">
      <w:pPr>
        <w:numPr>
          <w:ilvl w:val="0"/>
          <w:numId w:val="6"/>
        </w:numPr>
        <w:spacing w:line="480" w:lineRule="auto"/>
        <w:outlineLvl w:val="0"/>
        <w:rPr>
          <w:rFonts w:ascii="黑体" w:hAnsi="Showcard Gothic" w:eastAsia="黑体"/>
          <w:color w:val="auto"/>
          <w:sz w:val="36"/>
          <w:highlight w:val="none"/>
        </w:rPr>
      </w:pP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36"/>
          <w:highlight w:val="none"/>
        </w:rPr>
        <w:t>…</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6</w:t>
      </w:r>
      <w:r>
        <w:rPr>
          <w:rFonts w:hint="eastAsia" w:ascii="黑体" w:hAnsi="Showcard Gothic" w:eastAsia="黑体"/>
          <w:color w:val="auto"/>
          <w:sz w:val="36"/>
          <w:highlight w:val="none"/>
        </w:rPr>
        <w:t xml:space="preserve"> </w:t>
      </w:r>
    </w:p>
    <w:p w14:paraId="6852016F">
      <w:pPr>
        <w:numPr>
          <w:ilvl w:val="0"/>
          <w:numId w:val="6"/>
        </w:numPr>
        <w:spacing w:line="480" w:lineRule="auto"/>
        <w:outlineLvl w:val="0"/>
        <w:rPr>
          <w:rFonts w:ascii="黑体" w:hAnsi="Showcard Gothic" w:eastAsia="黑体"/>
          <w:color w:val="auto"/>
          <w:sz w:val="36"/>
          <w:highlight w:val="none"/>
        </w:rPr>
      </w:pPr>
      <w:r>
        <w:rPr>
          <w:rFonts w:hint="eastAsia" w:ascii="黑体" w:hAnsi="宋体" w:eastAsia="黑体"/>
          <w:color w:val="auto"/>
          <w:sz w:val="36"/>
          <w:highlight w:val="none"/>
        </w:rPr>
        <w:t>合同文本</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16</w:t>
      </w:r>
    </w:p>
    <w:p w14:paraId="2BB9DBC5">
      <w:pPr>
        <w:numPr>
          <w:ilvl w:val="0"/>
          <w:numId w:val="6"/>
        </w:numPr>
        <w:spacing w:line="480" w:lineRule="auto"/>
        <w:outlineLvl w:val="0"/>
        <w:rPr>
          <w:rFonts w:ascii="黑体" w:hAnsi="Showcard Gothic" w:eastAsia="黑体"/>
          <w:color w:val="auto"/>
          <w:sz w:val="36"/>
          <w:highlight w:val="none"/>
        </w:rPr>
      </w:pPr>
      <w:r>
        <w:rPr>
          <w:rFonts w:hint="eastAsia" w:ascii="黑体" w:hAnsi="宋体" w:eastAsia="黑体"/>
          <w:color w:val="auto"/>
          <w:sz w:val="36"/>
          <w:highlight w:val="none"/>
        </w:rPr>
        <w:t>采购需求</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20</w:t>
      </w:r>
    </w:p>
    <w:p w14:paraId="6FF9DE44">
      <w:pPr>
        <w:numPr>
          <w:ilvl w:val="0"/>
          <w:numId w:val="6"/>
        </w:numPr>
        <w:spacing w:line="480" w:lineRule="auto"/>
        <w:outlineLvl w:val="0"/>
        <w:rPr>
          <w:rFonts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38</w:t>
      </w:r>
    </w:p>
    <w:p w14:paraId="1AA7A7A8">
      <w:pPr>
        <w:numPr>
          <w:ilvl w:val="0"/>
          <w:numId w:val="6"/>
        </w:numPr>
        <w:spacing w:line="480" w:lineRule="auto"/>
        <w:outlineLvl w:val="0"/>
        <w:rPr>
          <w:rFonts w:ascii="黑体" w:hAnsi="Showcard Gothic" w:eastAsia="黑体"/>
          <w:color w:val="auto"/>
          <w:sz w:val="36"/>
          <w:highlight w:val="none"/>
        </w:rPr>
      </w:pPr>
      <w:r>
        <w:rPr>
          <w:rFonts w:hint="eastAsia" w:ascii="黑体" w:hAnsi="宋体" w:eastAsia="黑体"/>
          <w:color w:val="auto"/>
          <w:sz w:val="36"/>
          <w:highlight w:val="none"/>
        </w:rPr>
        <w:t>投标文件格式</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41</w:t>
      </w:r>
    </w:p>
    <w:p w14:paraId="34262097">
      <w:pPr>
        <w:rPr>
          <w:color w:val="auto"/>
          <w:highlight w:val="none"/>
        </w:rPr>
      </w:pPr>
    </w:p>
    <w:p w14:paraId="542C7EFF">
      <w:pPr>
        <w:rPr>
          <w:color w:val="auto"/>
          <w:highlight w:val="none"/>
        </w:rPr>
      </w:pPr>
    </w:p>
    <w:p w14:paraId="5E9DB9EB">
      <w:pPr>
        <w:rPr>
          <w:color w:val="auto"/>
          <w:highlight w:val="none"/>
        </w:rPr>
      </w:pPr>
    </w:p>
    <w:p w14:paraId="0576FC07">
      <w:pPr>
        <w:rPr>
          <w:color w:val="auto"/>
          <w:highlight w:val="none"/>
        </w:rPr>
      </w:pPr>
    </w:p>
    <w:p w14:paraId="02401B75">
      <w:pPr>
        <w:rPr>
          <w:color w:val="auto"/>
          <w:highlight w:val="none"/>
        </w:rPr>
      </w:pPr>
    </w:p>
    <w:p w14:paraId="1956606F">
      <w:pPr>
        <w:rPr>
          <w:color w:val="auto"/>
          <w:highlight w:val="none"/>
        </w:rPr>
      </w:pPr>
    </w:p>
    <w:p w14:paraId="788DD6FA">
      <w:pPr>
        <w:rPr>
          <w:color w:val="auto"/>
          <w:highlight w:val="none"/>
        </w:rPr>
      </w:pPr>
    </w:p>
    <w:p w14:paraId="6C30B7E1">
      <w:pPr>
        <w:rPr>
          <w:color w:val="auto"/>
          <w:highlight w:val="none"/>
        </w:rPr>
      </w:pPr>
    </w:p>
    <w:p w14:paraId="6C6F6EF4">
      <w:pPr>
        <w:rPr>
          <w:color w:val="auto"/>
          <w:highlight w:val="none"/>
        </w:rPr>
      </w:pPr>
    </w:p>
    <w:p w14:paraId="62A2D81B">
      <w:pPr>
        <w:rPr>
          <w:color w:val="auto"/>
          <w:highlight w:val="none"/>
        </w:rPr>
      </w:pPr>
    </w:p>
    <w:p w14:paraId="478DFF50">
      <w:pPr>
        <w:rPr>
          <w:color w:val="auto"/>
          <w:highlight w:val="none"/>
        </w:rPr>
      </w:pPr>
    </w:p>
    <w:p w14:paraId="0087243B">
      <w:pPr>
        <w:rPr>
          <w:color w:val="auto"/>
          <w:highlight w:val="none"/>
        </w:rPr>
      </w:pPr>
    </w:p>
    <w:p w14:paraId="0941119E">
      <w:pPr>
        <w:rPr>
          <w:color w:val="auto"/>
          <w:highlight w:val="none"/>
        </w:rPr>
      </w:pPr>
    </w:p>
    <w:p w14:paraId="6D9028B3">
      <w:pPr>
        <w:rPr>
          <w:color w:val="auto"/>
          <w:highlight w:val="none"/>
        </w:rPr>
      </w:pPr>
    </w:p>
    <w:p w14:paraId="03AE15D1">
      <w:pPr>
        <w:rPr>
          <w:color w:val="auto"/>
          <w:highlight w:val="none"/>
        </w:rPr>
      </w:pPr>
    </w:p>
    <w:p w14:paraId="68DDB449">
      <w:pPr>
        <w:rPr>
          <w:color w:val="auto"/>
          <w:highlight w:val="none"/>
        </w:rPr>
      </w:pPr>
    </w:p>
    <w:p w14:paraId="711CA800">
      <w:pPr>
        <w:rPr>
          <w:color w:val="auto"/>
          <w:highlight w:val="none"/>
        </w:rPr>
      </w:pPr>
    </w:p>
    <w:p w14:paraId="574B452E">
      <w:pPr>
        <w:rPr>
          <w:color w:val="auto"/>
          <w:highlight w:val="none"/>
        </w:rPr>
      </w:pPr>
    </w:p>
    <w:p w14:paraId="5BDCB755">
      <w:pPr>
        <w:rPr>
          <w:color w:val="auto"/>
          <w:highlight w:val="none"/>
        </w:rPr>
      </w:pPr>
    </w:p>
    <w:p w14:paraId="21666891">
      <w:pPr>
        <w:rPr>
          <w:color w:val="auto"/>
          <w:highlight w:val="none"/>
        </w:rPr>
      </w:pPr>
    </w:p>
    <w:p w14:paraId="6E32F67E">
      <w:pPr>
        <w:rPr>
          <w:color w:val="auto"/>
          <w:highlight w:val="none"/>
        </w:rPr>
      </w:pPr>
    </w:p>
    <w:p w14:paraId="52321683">
      <w:pPr>
        <w:rPr>
          <w:color w:val="auto"/>
          <w:highlight w:val="none"/>
        </w:rPr>
      </w:pPr>
    </w:p>
    <w:p w14:paraId="3152AD3B">
      <w:pPr>
        <w:rPr>
          <w:color w:val="auto"/>
          <w:highlight w:val="none"/>
        </w:rPr>
      </w:pPr>
    </w:p>
    <w:p w14:paraId="595A1C94">
      <w:pPr>
        <w:rPr>
          <w:color w:val="auto"/>
          <w:highlight w:val="none"/>
        </w:rPr>
      </w:pPr>
    </w:p>
    <w:p w14:paraId="2A8722FF">
      <w:pPr>
        <w:rPr>
          <w:color w:val="auto"/>
          <w:highlight w:val="none"/>
        </w:rPr>
      </w:pPr>
    </w:p>
    <w:p w14:paraId="74413B16">
      <w:pPr>
        <w:rPr>
          <w:color w:val="auto"/>
          <w:highlight w:val="none"/>
        </w:rPr>
      </w:pPr>
    </w:p>
    <w:p w14:paraId="6096A147">
      <w:pPr>
        <w:rPr>
          <w:color w:val="auto"/>
          <w:highlight w:val="none"/>
        </w:rPr>
      </w:pPr>
    </w:p>
    <w:p w14:paraId="18808546">
      <w:pPr>
        <w:rPr>
          <w:color w:val="auto"/>
          <w:highlight w:val="none"/>
        </w:rPr>
      </w:pPr>
    </w:p>
    <w:p w14:paraId="0788D39B">
      <w:pPr>
        <w:rPr>
          <w:color w:val="auto"/>
          <w:highlight w:val="none"/>
        </w:rPr>
      </w:pPr>
    </w:p>
    <w:p w14:paraId="51303E53">
      <w:pPr>
        <w:pStyle w:val="233"/>
        <w:spacing w:line="360" w:lineRule="auto"/>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投标邀请</w:t>
      </w:r>
    </w:p>
    <w:p w14:paraId="5D2DD05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lang w:val="en-US" w:eastAsia="zh-CN"/>
        </w:rPr>
        <w:t>仪征市中医院</w:t>
      </w:r>
      <w:r>
        <w:rPr>
          <w:rFonts w:hint="eastAsia" w:ascii="宋体" w:hAnsi="宋体"/>
          <w:color w:val="auto"/>
          <w:sz w:val="24"/>
          <w:szCs w:val="24"/>
          <w:highlight w:val="none"/>
        </w:rPr>
        <w:t>的委托，江苏弘业国际技术工程有限公司就[</w:t>
      </w:r>
      <w:r>
        <w:rPr>
          <w:rFonts w:hint="eastAsia" w:ascii="宋体" w:hAnsi="宋体"/>
          <w:color w:val="auto"/>
          <w:sz w:val="24"/>
          <w:szCs w:val="24"/>
          <w:highlight w:val="none"/>
          <w:lang w:val="en-US" w:eastAsia="zh-CN"/>
        </w:rPr>
        <w:t>仪征市中医院辅医与物流服务项目（二次）</w:t>
      </w:r>
      <w:r>
        <w:rPr>
          <w:rFonts w:hint="eastAsia" w:ascii="宋体" w:hAnsi="宋体"/>
          <w:color w:val="auto"/>
          <w:sz w:val="24"/>
          <w:szCs w:val="24"/>
          <w:highlight w:val="none"/>
        </w:rPr>
        <w:t>](</w:t>
      </w:r>
      <w:r>
        <w:rPr>
          <w:rFonts w:hint="eastAsia" w:ascii="宋体" w:hAnsi="宋体" w:cs="宋体"/>
          <w:color w:val="auto"/>
          <w:sz w:val="24"/>
          <w:szCs w:val="24"/>
          <w:highlight w:val="none"/>
          <w:lang w:eastAsia="zh-CN"/>
        </w:rPr>
        <w:t>JSZC-321081-JSHY-G2025-0453</w:t>
      </w:r>
      <w:r>
        <w:rPr>
          <w:rFonts w:hint="eastAsia" w:ascii="宋体" w:hAnsi="宋体"/>
          <w:color w:val="auto"/>
          <w:sz w:val="24"/>
          <w:szCs w:val="24"/>
          <w:highlight w:val="none"/>
        </w:rPr>
        <w:t>)项目进行公开招标采购，欢迎符合条件的供应商投标。</w:t>
      </w:r>
    </w:p>
    <w:p w14:paraId="4B151502">
      <w:pPr>
        <w:pBdr>
          <w:top w:val="single" w:color="000000" w:sz="4" w:space="0"/>
          <w:left w:val="single" w:color="000000" w:sz="4" w:space="3"/>
          <w:bottom w:val="single" w:color="000000" w:sz="4" w:space="0"/>
          <w:right w:val="single" w:color="000000" w:sz="4" w:space="3"/>
        </w:pBd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2AD0E965">
      <w:pPr>
        <w:pBdr>
          <w:top w:val="single" w:color="000000" w:sz="4" w:space="0"/>
          <w:left w:val="single" w:color="000000" w:sz="4" w:space="3"/>
          <w:bottom w:val="single" w:color="000000" w:sz="4" w:space="0"/>
          <w:right w:val="single" w:color="000000" w:sz="4" w:space="3"/>
        </w:pBd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仪征市中医院辅医与物流服务项目（二次）</w:t>
      </w:r>
      <w:r>
        <w:rPr>
          <w:rFonts w:hint="eastAsia" w:ascii="宋体" w:hAnsi="宋体"/>
          <w:color w:val="auto"/>
          <w:sz w:val="24"/>
          <w:szCs w:val="24"/>
          <w:highlight w:val="none"/>
        </w:rPr>
        <w:t>的潜在投标人可在</w:t>
      </w:r>
      <w:r>
        <w:rPr>
          <w:rFonts w:hint="eastAsia" w:ascii="宋体" w:hAnsi="宋体"/>
          <w:color w:val="auto"/>
          <w:sz w:val="24"/>
          <w:szCs w:val="24"/>
          <w:highlight w:val="none"/>
          <w:u w:val="single"/>
        </w:rPr>
        <w:t>“江苏政府采购网、扬州市政府采购网”自行免费下载</w:t>
      </w:r>
      <w:r>
        <w:rPr>
          <w:rFonts w:hint="eastAsia" w:ascii="宋体" w:hAnsi="宋体"/>
          <w:color w:val="auto"/>
          <w:sz w:val="24"/>
          <w:szCs w:val="24"/>
          <w:highlight w:val="none"/>
        </w:rPr>
        <w:t>招标文件，并于</w:t>
      </w:r>
      <w:r>
        <w:rPr>
          <w:rFonts w:hint="eastAsia" w:ascii="宋体" w:hAnsi="宋体"/>
          <w:color w:val="auto"/>
          <w:sz w:val="24"/>
          <w:szCs w:val="24"/>
          <w:highlight w:val="none"/>
          <w:u w:val="single"/>
          <w:lang w:val="en-US" w:eastAsia="zh-CN"/>
        </w:rPr>
        <w:t>2025</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12</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16</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15</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00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4D142E22">
      <w:pPr>
        <w:pStyle w:val="235"/>
        <w:spacing w:before="145" w:after="145" w:line="360" w:lineRule="auto"/>
        <w:ind w:firstLine="498"/>
        <w:rPr>
          <w:color w:val="auto"/>
          <w:highlight w:val="none"/>
        </w:rPr>
      </w:pPr>
      <w:bookmarkStart w:id="6" w:name="_Toc35393790"/>
      <w:bookmarkStart w:id="7" w:name="_Toc35393621"/>
      <w:bookmarkStart w:id="8" w:name="_Toc28359079"/>
      <w:bookmarkStart w:id="9" w:name="_Toc28359002"/>
      <w:bookmarkStart w:id="10" w:name="_Toc38985263"/>
      <w:bookmarkStart w:id="11" w:name="_Hlk24379207"/>
      <w:r>
        <w:rPr>
          <w:rFonts w:hint="eastAsia"/>
          <w:color w:val="auto"/>
          <w:highlight w:val="none"/>
        </w:rPr>
        <w:t>一、项目基本情况</w:t>
      </w:r>
      <w:bookmarkEnd w:id="6"/>
      <w:bookmarkEnd w:id="7"/>
      <w:bookmarkEnd w:id="8"/>
      <w:bookmarkEnd w:id="9"/>
      <w:bookmarkEnd w:id="10"/>
    </w:p>
    <w:p w14:paraId="03C341E2">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1.项目编号：</w:t>
      </w:r>
      <w:r>
        <w:rPr>
          <w:rFonts w:hint="eastAsia" w:ascii="宋体" w:hAnsi="宋体" w:cs="宋体"/>
          <w:color w:val="auto"/>
          <w:sz w:val="24"/>
          <w:szCs w:val="24"/>
          <w:highlight w:val="none"/>
          <w:lang w:eastAsia="zh-CN"/>
        </w:rPr>
        <w:t>JSZC-321081-JSHY-G2025-0453</w:t>
      </w:r>
    </w:p>
    <w:p w14:paraId="3F8C60C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仪征市中医院辅医与物流服务项目（二次）</w:t>
      </w:r>
    </w:p>
    <w:p w14:paraId="736C63DB">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3.预算金额</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600</w:t>
      </w:r>
      <w:r>
        <w:rPr>
          <w:rFonts w:hint="eastAsia" w:ascii="宋体" w:hAnsi="宋体" w:eastAsia="宋体"/>
          <w:color w:val="auto"/>
          <w:sz w:val="24"/>
          <w:szCs w:val="24"/>
          <w:highlight w:val="none"/>
        </w:rPr>
        <w:t>万元/3年（</w:t>
      </w:r>
      <w:r>
        <w:rPr>
          <w:rFonts w:hint="eastAsia" w:ascii="宋体" w:hAnsi="宋体"/>
          <w:color w:val="auto"/>
          <w:sz w:val="24"/>
          <w:szCs w:val="24"/>
          <w:highlight w:val="none"/>
          <w:lang w:val="en-US" w:eastAsia="zh-CN"/>
        </w:rPr>
        <w:t>20</w:t>
      </w:r>
      <w:r>
        <w:rPr>
          <w:rFonts w:hint="eastAsia" w:ascii="宋体" w:hAnsi="宋体" w:eastAsia="宋体"/>
          <w:color w:val="auto"/>
          <w:sz w:val="24"/>
          <w:szCs w:val="24"/>
          <w:highlight w:val="none"/>
          <w:lang w:val="en-US" w:eastAsia="zh-CN"/>
        </w:rPr>
        <w:t>0</w:t>
      </w:r>
      <w:r>
        <w:rPr>
          <w:rFonts w:hint="eastAsia" w:ascii="宋体" w:hAnsi="宋体" w:eastAsia="宋体"/>
          <w:color w:val="auto"/>
          <w:sz w:val="24"/>
          <w:szCs w:val="24"/>
          <w:highlight w:val="none"/>
        </w:rPr>
        <w:t>万元/年）</w:t>
      </w:r>
    </w:p>
    <w:p w14:paraId="3EDE56E3">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4</w:t>
      </w:r>
      <w:r>
        <w:rPr>
          <w:rFonts w:hint="eastAsia" w:ascii="宋体" w:hAnsi="宋体" w:eastAsia="宋体"/>
          <w:color w:val="auto"/>
          <w:sz w:val="24"/>
          <w:szCs w:val="24"/>
          <w:highlight w:val="none"/>
        </w:rPr>
        <w:t>.最高限价</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lang w:val="en-US" w:eastAsia="zh-CN"/>
        </w:rPr>
        <w:t>600</w:t>
      </w:r>
      <w:r>
        <w:rPr>
          <w:rFonts w:hint="eastAsia" w:ascii="宋体" w:hAnsi="宋体" w:eastAsia="宋体"/>
          <w:color w:val="auto"/>
          <w:sz w:val="24"/>
          <w:szCs w:val="24"/>
          <w:highlight w:val="none"/>
        </w:rPr>
        <w:t>万元/3年（</w:t>
      </w:r>
      <w:r>
        <w:rPr>
          <w:rFonts w:hint="eastAsia" w:ascii="宋体" w:hAnsi="宋体"/>
          <w:color w:val="auto"/>
          <w:sz w:val="24"/>
          <w:szCs w:val="24"/>
          <w:highlight w:val="none"/>
          <w:lang w:val="en-US" w:eastAsia="zh-CN"/>
        </w:rPr>
        <w:t>20</w:t>
      </w:r>
      <w:r>
        <w:rPr>
          <w:rFonts w:hint="eastAsia" w:ascii="宋体" w:hAnsi="宋体" w:eastAsia="宋体"/>
          <w:color w:val="auto"/>
          <w:sz w:val="24"/>
          <w:szCs w:val="24"/>
          <w:highlight w:val="none"/>
          <w:lang w:val="en-US" w:eastAsia="zh-CN"/>
        </w:rPr>
        <w:t>0</w:t>
      </w:r>
      <w:r>
        <w:rPr>
          <w:rFonts w:hint="eastAsia" w:ascii="宋体" w:hAnsi="宋体" w:eastAsia="宋体"/>
          <w:color w:val="auto"/>
          <w:sz w:val="24"/>
          <w:szCs w:val="24"/>
          <w:highlight w:val="none"/>
        </w:rPr>
        <w:t>万元/年），报价超过最高限价按无效响应文件处理</w:t>
      </w:r>
    </w:p>
    <w:p w14:paraId="56C0AF12">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5.采购需求：</w:t>
      </w:r>
      <w:r>
        <w:rPr>
          <w:rFonts w:hint="eastAsia" w:ascii="宋体" w:hAnsi="宋体" w:eastAsia="宋体"/>
          <w:color w:val="auto"/>
          <w:sz w:val="24"/>
          <w:szCs w:val="24"/>
          <w:highlight w:val="none"/>
        </w:rPr>
        <w:t>详见招标文件第四章</w:t>
      </w:r>
    </w:p>
    <w:p w14:paraId="546B50A7">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6.服务期限：</w:t>
      </w:r>
      <w:r>
        <w:rPr>
          <w:rFonts w:hint="eastAsia" w:ascii="宋体" w:hAnsi="宋体" w:eastAsia="宋体"/>
          <w:color w:val="auto"/>
          <w:sz w:val="24"/>
          <w:szCs w:val="24"/>
          <w:highlight w:val="none"/>
        </w:rPr>
        <w:t>三年（自签订合同之日起计算）</w:t>
      </w:r>
    </w:p>
    <w:p w14:paraId="5A017519">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7.本项目不接受联合体投标</w:t>
      </w:r>
    </w:p>
    <w:p w14:paraId="6462BE27">
      <w:pPr>
        <w:pStyle w:val="235"/>
        <w:spacing w:before="145" w:after="145" w:line="360" w:lineRule="auto"/>
        <w:ind w:firstLine="498"/>
        <w:rPr>
          <w:color w:val="auto"/>
          <w:highlight w:val="none"/>
        </w:rPr>
      </w:pPr>
      <w:bookmarkStart w:id="12" w:name="_Toc28359080"/>
      <w:bookmarkStart w:id="13" w:name="_Toc35393791"/>
      <w:bookmarkStart w:id="14" w:name="_Toc28359003"/>
      <w:bookmarkStart w:id="15" w:name="_Toc38985264"/>
      <w:bookmarkStart w:id="16" w:name="_Toc35393622"/>
      <w:r>
        <w:rPr>
          <w:rFonts w:hint="eastAsia"/>
          <w:color w:val="auto"/>
          <w:highlight w:val="none"/>
        </w:rPr>
        <w:t>二、申请人的资格要求：</w:t>
      </w:r>
      <w:bookmarkEnd w:id="12"/>
      <w:bookmarkEnd w:id="13"/>
      <w:bookmarkEnd w:id="14"/>
      <w:bookmarkEnd w:id="15"/>
      <w:bookmarkEnd w:id="16"/>
    </w:p>
    <w:p w14:paraId="116516F4">
      <w:pPr>
        <w:spacing w:line="360" w:lineRule="auto"/>
        <w:ind w:firstLine="480"/>
        <w:rPr>
          <w:rFonts w:ascii="宋体" w:hAnsi="宋体"/>
          <w:color w:val="auto"/>
          <w:sz w:val="24"/>
          <w:szCs w:val="24"/>
          <w:highlight w:val="none"/>
        </w:rPr>
      </w:pPr>
      <w:bookmarkStart w:id="17" w:name="_Toc28359081"/>
      <w:bookmarkStart w:id="18" w:name="_Toc38985265"/>
      <w:bookmarkStart w:id="19" w:name="_Toc28359004"/>
      <w:bookmarkStart w:id="20" w:name="_Toc35393623"/>
      <w:bookmarkStart w:id="21" w:name="_Toc35393792"/>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5C4A18C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226C688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 法人或者其他组织的营业执照等证明文件，自然人的身份证明；</w:t>
      </w:r>
    </w:p>
    <w:p w14:paraId="7210F6E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1.2上一年度的财务状况报告（成立不满一年无需提供）；</w:t>
      </w:r>
    </w:p>
    <w:p w14:paraId="10AB96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1.3依法缴纳税收和社会保障资金的相关材料（提供提交投标文件截止时间前</w:t>
      </w:r>
      <w:r>
        <w:rPr>
          <w:rFonts w:hint="eastAsia" w:ascii="宋体" w:hAnsi="宋体"/>
          <w:color w:val="auto"/>
          <w:sz w:val="24"/>
          <w:szCs w:val="24"/>
          <w:highlight w:val="none"/>
          <w:lang w:val="en-US" w:eastAsia="zh-CN"/>
        </w:rPr>
        <w:t>半</w:t>
      </w:r>
      <w:r>
        <w:rPr>
          <w:rFonts w:hint="eastAsia" w:ascii="宋体" w:hAnsi="宋体"/>
          <w:color w:val="auto"/>
          <w:sz w:val="24"/>
          <w:szCs w:val="24"/>
          <w:highlight w:val="none"/>
        </w:rPr>
        <w:t>年内至少一个月依法缴纳税收及缴纳社会保障资金的证明材料。投标人依法享受缓缴、免缴税收、社会保障资金的提供证明材料。）；</w:t>
      </w:r>
    </w:p>
    <w:p w14:paraId="401A78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1.4具备履行合同所必需的设备和专业技术能力的书面声明；</w:t>
      </w:r>
    </w:p>
    <w:p w14:paraId="09ABB97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1.5参加政府采购活动前3年内在经营活动中没有重大违法记录的书面声明；</w:t>
      </w:r>
    </w:p>
    <w:p w14:paraId="096600EB">
      <w:pPr>
        <w:spacing w:line="360" w:lineRule="auto"/>
        <w:ind w:firstLine="480"/>
        <w:rPr>
          <w:color w:val="auto"/>
          <w:highlight w:val="none"/>
        </w:rPr>
      </w:pPr>
      <w:r>
        <w:rPr>
          <w:rFonts w:hint="eastAsia" w:ascii="宋体" w:hAnsi="宋体"/>
          <w:color w:val="auto"/>
          <w:sz w:val="24"/>
          <w:szCs w:val="24"/>
          <w:highlight w:val="none"/>
        </w:rPr>
        <w:t>1.6供应商信用承诺函</w:t>
      </w:r>
      <w:r>
        <w:rPr>
          <w:rFonts w:hint="eastAsia" w:ascii="宋体" w:hAnsi="宋体"/>
          <w:color w:val="auto"/>
          <w:sz w:val="24"/>
          <w:szCs w:val="24"/>
          <w:highlight w:val="none"/>
          <w:lang w:eastAsia="zh-CN"/>
        </w:rPr>
        <w:t>；</w:t>
      </w:r>
    </w:p>
    <w:p w14:paraId="6F0CEF1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14:paraId="1071D8B2">
      <w:pPr>
        <w:spacing w:line="360" w:lineRule="auto"/>
        <w:ind w:firstLine="480"/>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3.落实政府采购政策需满足的资格要求：</w:t>
      </w:r>
      <w:r>
        <w:rPr>
          <w:rFonts w:hint="eastAsia" w:ascii="宋体" w:hAnsi="宋体" w:eastAsia="宋体"/>
          <w:color w:val="auto"/>
          <w:sz w:val="24"/>
          <w:szCs w:val="24"/>
          <w:highlight w:val="none"/>
        </w:rPr>
        <w:t>本项目为专门面向中小企业采购，供应商必须在投标文件中提供中小企业声明函。</w:t>
      </w:r>
      <w:r>
        <w:rPr>
          <w:rFonts w:hint="eastAsia" w:ascii="宋体" w:hAnsi="宋体"/>
          <w:i/>
          <w:iCs/>
          <w:color w:val="auto"/>
          <w:sz w:val="24"/>
          <w:szCs w:val="24"/>
          <w:highlight w:val="none"/>
          <w:lang w:val="en-US" w:eastAsia="zh-CN"/>
        </w:rPr>
        <w:t>本项目所属行业为“租赁与商业服务业”。</w:t>
      </w:r>
    </w:p>
    <w:p w14:paraId="7351F9AE">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4、拒绝下述供应商参加本次采购活动：</w:t>
      </w:r>
    </w:p>
    <w:p w14:paraId="7043BE5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（1）供应商单位负责人为同一人或者存在直接控股、管理关系的不同供应商，不得参加同一合同项下的政府采购活动；</w:t>
      </w:r>
    </w:p>
    <w:p w14:paraId="09BD0A4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（2）凡为采购项目提供整体设计、规范编制或者项目管理、监理、检测等服务的供应商，不得再参加该项目的其他采购活动。</w:t>
      </w:r>
    </w:p>
    <w:p w14:paraId="5BBCD2A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（二）本项目的特定资格要求：</w:t>
      </w:r>
    </w:p>
    <w:p w14:paraId="0A27E5AB">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无</w:t>
      </w:r>
    </w:p>
    <w:p w14:paraId="62CBF6EF">
      <w:pPr>
        <w:pStyle w:val="235"/>
        <w:spacing w:before="145" w:after="145" w:line="360" w:lineRule="auto"/>
        <w:ind w:firstLine="498"/>
        <w:rPr>
          <w:color w:val="auto"/>
          <w:highlight w:val="none"/>
        </w:rPr>
      </w:pPr>
      <w:r>
        <w:rPr>
          <w:rFonts w:hint="eastAsia"/>
          <w:color w:val="auto"/>
          <w:highlight w:val="none"/>
        </w:rPr>
        <w:t>三、获取招标文件</w:t>
      </w:r>
      <w:bookmarkEnd w:id="17"/>
      <w:bookmarkEnd w:id="18"/>
      <w:bookmarkEnd w:id="19"/>
      <w:bookmarkEnd w:id="20"/>
      <w:bookmarkEnd w:id="21"/>
    </w:p>
    <w:p w14:paraId="2E9EBCBF">
      <w:pPr>
        <w:spacing w:line="360" w:lineRule="auto"/>
        <w:ind w:firstLine="540"/>
        <w:rPr>
          <w:rFonts w:ascii="宋体" w:hAnsi="宋体" w:cs="宋体"/>
          <w:color w:val="auto"/>
          <w:sz w:val="24"/>
          <w:szCs w:val="24"/>
          <w:highlight w:val="none"/>
        </w:rPr>
      </w:pPr>
      <w:bookmarkStart w:id="22" w:name="_Toc28359082"/>
      <w:bookmarkStart w:id="23" w:name="_Toc28359005"/>
      <w:bookmarkStart w:id="24" w:name="_Toc35393793"/>
      <w:bookmarkStart w:id="25" w:name="_Toc35393624"/>
      <w:bookmarkStart w:id="26" w:name="_Toc38985266"/>
      <w:r>
        <w:rPr>
          <w:rFonts w:hint="eastAsia" w:ascii="宋体" w:hAnsi="宋体" w:cs="宋体"/>
          <w:color w:val="auto"/>
          <w:sz w:val="24"/>
          <w:szCs w:val="24"/>
          <w:highlight w:val="none"/>
        </w:rPr>
        <w:t>1.时间：自招标文件公告发布之日起5个工作日。</w:t>
      </w:r>
    </w:p>
    <w:p w14:paraId="7D88F1C3">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2.方式：在“江苏政府采购网、扬州市政府采购网”自行免费下载招标文件。</w:t>
      </w:r>
    </w:p>
    <w:p w14:paraId="29FC67FF">
      <w:pPr>
        <w:pStyle w:val="235"/>
        <w:spacing w:before="145" w:after="145" w:line="360" w:lineRule="auto"/>
        <w:ind w:firstLine="498"/>
        <w:rPr>
          <w:color w:val="auto"/>
          <w:highlight w:val="none"/>
        </w:rPr>
      </w:pPr>
      <w:r>
        <w:rPr>
          <w:rFonts w:hint="eastAsia"/>
          <w:color w:val="auto"/>
          <w:highlight w:val="none"/>
        </w:rPr>
        <w:t>四、提交投标文件</w:t>
      </w:r>
      <w:bookmarkEnd w:id="22"/>
      <w:bookmarkEnd w:id="23"/>
      <w:r>
        <w:rPr>
          <w:rFonts w:hint="eastAsia"/>
          <w:color w:val="auto"/>
          <w:highlight w:val="none"/>
        </w:rPr>
        <w:t>截止时间、开标时间和地点</w:t>
      </w:r>
      <w:bookmarkEnd w:id="24"/>
      <w:bookmarkEnd w:id="25"/>
      <w:bookmarkEnd w:id="26"/>
    </w:p>
    <w:p w14:paraId="3751929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u w:val="single"/>
        </w:rPr>
        <w:t>1.</w:t>
      </w:r>
      <w:r>
        <w:rPr>
          <w:rFonts w:hint="eastAsia" w:ascii="宋体" w:hAnsi="宋体"/>
          <w:bCs/>
          <w:color w:val="auto"/>
          <w:sz w:val="24"/>
          <w:szCs w:val="24"/>
          <w:highlight w:val="none"/>
          <w:u w:val="single"/>
          <w:lang w:val="en-US" w:eastAsia="zh-CN"/>
        </w:rPr>
        <w:t>2025</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12</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16</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15</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00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p>
    <w:p w14:paraId="72FE813A">
      <w:pPr>
        <w:spacing w:line="360" w:lineRule="auto"/>
        <w:ind w:firstLine="480"/>
        <w:rPr>
          <w:rFonts w:ascii="宋体" w:hAnsi="宋体"/>
          <w:bCs/>
          <w:color w:val="auto"/>
          <w:sz w:val="24"/>
          <w:szCs w:val="24"/>
          <w:highlight w:val="none"/>
          <w:u w:val="single"/>
        </w:rPr>
      </w:pPr>
      <w:r>
        <w:rPr>
          <w:rFonts w:hint="eastAsia" w:ascii="宋体" w:hAnsi="宋体"/>
          <w:color w:val="auto"/>
          <w:sz w:val="24"/>
          <w:szCs w:val="24"/>
          <w:highlight w:val="none"/>
        </w:rPr>
        <w:t>2.地点：“苏采云”政府采购交易系统网上开标大厅。</w:t>
      </w:r>
    </w:p>
    <w:p w14:paraId="4E6C4F9C">
      <w:pPr>
        <w:pStyle w:val="235"/>
        <w:spacing w:before="145" w:after="145" w:line="360" w:lineRule="auto"/>
        <w:ind w:firstLine="498"/>
        <w:rPr>
          <w:color w:val="auto"/>
          <w:highlight w:val="none"/>
        </w:rPr>
      </w:pPr>
      <w:bookmarkStart w:id="27" w:name="_Toc35393794"/>
      <w:bookmarkStart w:id="28" w:name="_Toc28359007"/>
      <w:bookmarkStart w:id="29" w:name="_Toc28359084"/>
      <w:bookmarkStart w:id="30" w:name="_Toc38985267"/>
      <w:bookmarkStart w:id="31" w:name="_Toc35393625"/>
      <w:r>
        <w:rPr>
          <w:rFonts w:hint="eastAsia"/>
          <w:color w:val="auto"/>
          <w:highlight w:val="none"/>
        </w:rPr>
        <w:t>五、公告期限</w:t>
      </w:r>
      <w:bookmarkEnd w:id="27"/>
      <w:bookmarkEnd w:id="28"/>
      <w:bookmarkEnd w:id="29"/>
      <w:bookmarkEnd w:id="30"/>
      <w:bookmarkEnd w:id="31"/>
    </w:p>
    <w:p w14:paraId="0C7E1AEA">
      <w:pPr>
        <w:spacing w:line="360" w:lineRule="auto"/>
        <w:ind w:firstLine="480"/>
        <w:rPr>
          <w:rFonts w:ascii="宋体" w:hAnsi="宋体" w:cs="宋体"/>
          <w:color w:val="auto"/>
          <w:sz w:val="24"/>
          <w:szCs w:val="24"/>
          <w:highlight w:val="none"/>
        </w:rPr>
      </w:pPr>
      <w:bookmarkStart w:id="32" w:name="_Toc35393626"/>
      <w:bookmarkStart w:id="33" w:name="_Toc38985268"/>
      <w:bookmarkStart w:id="34" w:name="_Toc35393795"/>
      <w:r>
        <w:rPr>
          <w:rFonts w:hint="eastAsia" w:ascii="宋体" w:hAnsi="宋体" w:cs="宋体"/>
          <w:color w:val="auto"/>
          <w:sz w:val="24"/>
          <w:szCs w:val="24"/>
          <w:highlight w:val="none"/>
        </w:rPr>
        <w:t>招标公告及招标文件公告期限为自本公告发布之日起5个工作日。</w:t>
      </w:r>
    </w:p>
    <w:p w14:paraId="5DC77A6D">
      <w:pPr>
        <w:pStyle w:val="235"/>
        <w:spacing w:before="145" w:after="145" w:line="360" w:lineRule="auto"/>
        <w:ind w:firstLine="498"/>
        <w:rPr>
          <w:color w:val="auto"/>
          <w:highlight w:val="none"/>
        </w:rPr>
      </w:pPr>
      <w:r>
        <w:rPr>
          <w:rFonts w:hint="eastAsia"/>
          <w:color w:val="auto"/>
          <w:highlight w:val="none"/>
        </w:rPr>
        <w:t>六、其他补充事宜</w:t>
      </w:r>
      <w:bookmarkEnd w:id="32"/>
      <w:bookmarkEnd w:id="33"/>
      <w:bookmarkEnd w:id="34"/>
    </w:p>
    <w:p w14:paraId="7201304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6CDED17B">
      <w:pPr>
        <w:pStyle w:val="235"/>
        <w:spacing w:before="145" w:after="145" w:line="360" w:lineRule="auto"/>
        <w:ind w:firstLine="498"/>
        <w:rPr>
          <w:color w:val="auto"/>
          <w:highlight w:val="none"/>
        </w:rPr>
      </w:pPr>
      <w:bookmarkStart w:id="35" w:name="_Toc35393796"/>
      <w:bookmarkStart w:id="36" w:name="_Toc28359008"/>
      <w:bookmarkStart w:id="37" w:name="_Toc28359085"/>
      <w:bookmarkStart w:id="38" w:name="_Toc35393627"/>
      <w:bookmarkStart w:id="39" w:name="_Toc38985269"/>
      <w:r>
        <w:rPr>
          <w:rFonts w:hint="eastAsia"/>
          <w:color w:val="auto"/>
          <w:highlight w:val="none"/>
        </w:rPr>
        <w:t>七、本次招标联系方式</w:t>
      </w:r>
      <w:bookmarkEnd w:id="35"/>
      <w:bookmarkEnd w:id="36"/>
      <w:bookmarkEnd w:id="37"/>
      <w:bookmarkEnd w:id="38"/>
      <w:bookmarkEnd w:id="39"/>
    </w:p>
    <w:p w14:paraId="0675FAE6">
      <w:pPr>
        <w:widowControl/>
        <w:spacing w:line="360" w:lineRule="auto"/>
        <w:jc w:val="left"/>
        <w:rPr>
          <w:rFonts w:ascii="宋体" w:hAnsi="宋体"/>
          <w:color w:val="auto"/>
          <w:sz w:val="24"/>
          <w:szCs w:val="24"/>
          <w:highlight w:val="none"/>
        </w:rPr>
      </w:pPr>
      <w:r>
        <w:rPr>
          <w:rFonts w:hint="eastAsia" w:ascii="仿宋" w:hAnsi="仿宋" w:eastAsia="仿宋" w:cs="宋体"/>
          <w:color w:val="auto"/>
          <w:sz w:val="28"/>
          <w:szCs w:val="28"/>
          <w:highlight w:val="none"/>
        </w:rPr>
        <w:t>　　　</w:t>
      </w:r>
      <w:r>
        <w:rPr>
          <w:rFonts w:hint="eastAsia" w:ascii="宋体" w:hAnsi="宋体" w:cs="宋体"/>
          <w:color w:val="auto"/>
          <w:sz w:val="24"/>
          <w:szCs w:val="24"/>
          <w:highlight w:val="none"/>
        </w:rPr>
        <w:t>1.采购人信息</w:t>
      </w:r>
    </w:p>
    <w:p w14:paraId="74F0071E">
      <w:pPr>
        <w:numPr>
          <w:ilvl w:val="0"/>
          <w:numId w:val="0"/>
        </w:numPr>
        <w:spacing w:line="360" w:lineRule="auto"/>
        <w:ind w:left="779" w:leftChars="0"/>
        <w:jc w:val="left"/>
        <w:rPr>
          <w:rFonts w:hint="eastAsia" w:ascii="宋体" w:hAnsi="宋体" w:eastAsia="宋体" w:cs="Times New Roman"/>
          <w:color w:val="auto"/>
          <w:sz w:val="24"/>
          <w:szCs w:val="24"/>
          <w:highlight w:val="none"/>
          <w:lang w:val="en-US"/>
        </w:rPr>
      </w:pPr>
      <w:bookmarkStart w:id="40" w:name="_Toc28359086"/>
      <w:bookmarkStart w:id="41" w:name="_Toc28359009"/>
      <w:r>
        <w:rPr>
          <w:rFonts w:hint="eastAsia" w:ascii="宋体" w:hAnsi="宋体" w:eastAsia="宋体" w:cs="Times New Roman"/>
          <w:color w:val="auto"/>
          <w:sz w:val="24"/>
          <w:szCs w:val="24"/>
          <w:highlight w:val="none"/>
          <w:lang w:val="en-US"/>
        </w:rPr>
        <w:t>名称：</w:t>
      </w:r>
      <w:r>
        <w:rPr>
          <w:rFonts w:hint="eastAsia" w:ascii="宋体" w:hAnsi="宋体" w:cs="Times New Roman"/>
          <w:color w:val="auto"/>
          <w:sz w:val="24"/>
          <w:szCs w:val="24"/>
          <w:highlight w:val="none"/>
          <w:lang w:val="en-US" w:eastAsia="zh-CN"/>
        </w:rPr>
        <w:t>仪征市中医院</w:t>
      </w:r>
      <w:r>
        <w:rPr>
          <w:rFonts w:hint="eastAsia" w:ascii="宋体" w:hAnsi="宋体" w:eastAsia="宋体" w:cs="Times New Roman"/>
          <w:color w:val="auto"/>
          <w:sz w:val="24"/>
          <w:szCs w:val="24"/>
          <w:highlight w:val="none"/>
          <w:lang w:val="en-US"/>
        </w:rPr>
        <w:t xml:space="preserve">        </w:t>
      </w:r>
    </w:p>
    <w:p w14:paraId="60E7CB06">
      <w:pPr>
        <w:numPr>
          <w:ilvl w:val="0"/>
          <w:numId w:val="0"/>
        </w:numPr>
        <w:spacing w:line="360" w:lineRule="auto"/>
        <w:ind w:left="779" w:leftChars="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地址： 仪征市沿山河东路899号</w:t>
      </w:r>
    </w:p>
    <w:p w14:paraId="2935D37D">
      <w:pPr>
        <w:numPr>
          <w:ilvl w:val="0"/>
          <w:numId w:val="0"/>
        </w:numPr>
        <w:spacing w:line="360" w:lineRule="auto"/>
        <w:ind w:left="779" w:leftChars="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联系人：王鹏洲</w:t>
      </w:r>
    </w:p>
    <w:p w14:paraId="1BD51FD1">
      <w:pPr>
        <w:numPr>
          <w:ilvl w:val="0"/>
          <w:numId w:val="0"/>
        </w:numPr>
        <w:spacing w:line="360" w:lineRule="auto"/>
        <w:ind w:left="779" w:leftChars="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联系方式： 0514-80856318</w:t>
      </w:r>
    </w:p>
    <w:p w14:paraId="08EFD416">
      <w:pPr>
        <w:numPr>
          <w:ilvl w:val="0"/>
          <w:numId w:val="7"/>
        </w:numPr>
        <w:spacing w:line="360" w:lineRule="auto"/>
        <w:ind w:left="1079" w:hanging="300"/>
        <w:jc w:val="left"/>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rPr>
        <w:t>采购代理机构信息</w:t>
      </w:r>
      <w:bookmarkEnd w:id="40"/>
      <w:bookmarkEnd w:id="41"/>
    </w:p>
    <w:p w14:paraId="15AA8404">
      <w:pPr>
        <w:numPr>
          <w:ilvl w:val="0"/>
          <w:numId w:val="0"/>
        </w:numPr>
        <w:spacing w:line="360" w:lineRule="auto"/>
        <w:ind w:left="779" w:leftChars="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名称：江苏弘业国际技术工程有限公司</w:t>
      </w:r>
    </w:p>
    <w:p w14:paraId="2CD0659F">
      <w:pPr>
        <w:numPr>
          <w:ilvl w:val="0"/>
          <w:numId w:val="0"/>
        </w:numPr>
        <w:spacing w:line="360" w:lineRule="auto"/>
        <w:ind w:left="779" w:leftChars="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rPr>
        <w:t>地　址：南京市中华路50号弘业大厦</w:t>
      </w:r>
      <w:r>
        <w:rPr>
          <w:rFonts w:hint="eastAsia" w:ascii="宋体" w:hAnsi="宋体" w:eastAsia="宋体" w:cs="Times New Roman"/>
          <w:color w:val="auto"/>
          <w:sz w:val="24"/>
          <w:szCs w:val="24"/>
          <w:highlight w:val="none"/>
          <w:lang w:val="en-US" w:eastAsia="zh-CN"/>
        </w:rPr>
        <w:t>10楼</w:t>
      </w:r>
    </w:p>
    <w:p w14:paraId="6F44F4CD">
      <w:pPr>
        <w:numPr>
          <w:ilvl w:val="0"/>
          <w:numId w:val="0"/>
        </w:numPr>
        <w:spacing w:line="360" w:lineRule="auto"/>
        <w:ind w:left="779" w:leftChars="0"/>
        <w:jc w:val="left"/>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rPr>
        <w:t>联系人：</w:t>
      </w:r>
      <w:r>
        <w:rPr>
          <w:rFonts w:hint="eastAsia" w:ascii="宋体" w:hAnsi="宋体" w:eastAsia="宋体" w:cs="Times New Roman"/>
          <w:color w:val="auto"/>
          <w:sz w:val="24"/>
          <w:szCs w:val="24"/>
          <w:highlight w:val="none"/>
          <w:lang w:val="en-US" w:eastAsia="zh-CN"/>
        </w:rPr>
        <w:t>宋瞰尘</w:t>
      </w:r>
    </w:p>
    <w:p w14:paraId="75BBAAA7">
      <w:pPr>
        <w:spacing w:line="360" w:lineRule="auto"/>
        <w:ind w:left="1079" w:hanging="30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联系方式：</w:t>
      </w:r>
      <w:r>
        <w:rPr>
          <w:rFonts w:hint="eastAsia" w:ascii="宋体" w:hAnsi="宋体" w:eastAsia="宋体" w:cs="Times New Roman"/>
          <w:color w:val="auto"/>
          <w:sz w:val="24"/>
          <w:szCs w:val="24"/>
          <w:highlight w:val="none"/>
          <w:lang w:val="en-US"/>
        </w:rPr>
        <w:t>025-52278371</w:t>
      </w:r>
    </w:p>
    <w:p w14:paraId="5A500CC0">
      <w:pPr>
        <w:pStyle w:val="235"/>
        <w:numPr>
          <w:ilvl w:val="0"/>
          <w:numId w:val="8"/>
        </w:numPr>
        <w:spacing w:before="145" w:after="145" w:line="360" w:lineRule="auto"/>
        <w:ind w:firstLine="498"/>
        <w:rPr>
          <w:rFonts w:hint="eastAsia"/>
          <w:color w:val="auto"/>
          <w:highlight w:val="none"/>
        </w:rPr>
      </w:pPr>
      <w:r>
        <w:rPr>
          <w:rFonts w:hint="eastAsia"/>
          <w:color w:val="auto"/>
          <w:highlight w:val="none"/>
        </w:rPr>
        <w:t>其他</w:t>
      </w:r>
    </w:p>
    <w:p w14:paraId="6FB9B58C">
      <w:pPr>
        <w:pStyle w:val="235"/>
        <w:numPr>
          <w:ilvl w:val="0"/>
          <w:numId w:val="0"/>
        </w:numPr>
        <w:spacing w:before="145" w:after="145" w:line="360" w:lineRule="auto"/>
        <w:ind w:firstLine="482"/>
        <w:rPr>
          <w:color w:val="auto"/>
          <w:highlight w:val="none"/>
        </w:rPr>
      </w:pPr>
      <w:r>
        <w:rPr>
          <w:rFonts w:ascii="宋体" w:hAnsi="宋体" w:cs="宋体"/>
          <w:color w:val="auto"/>
          <w:sz w:val="24"/>
          <w:highlight w:val="none"/>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color w:val="auto"/>
          <w:sz w:val="24"/>
          <w:highlight w:val="none"/>
        </w:rPr>
        <w:t>http://zfcg.yangzhou.gov.cn/xzzx/art/2023/art_4d7de1f7865f4a2894fc22bc452f94d8.html</w:t>
      </w:r>
      <w:r>
        <w:rPr>
          <w:rFonts w:ascii="宋体" w:hAnsi="宋体" w:cs="宋体"/>
          <w:color w:val="auto"/>
          <w:sz w:val="24"/>
          <w:highlight w:val="none"/>
        </w:rPr>
        <w:t>，请按《操作手册》要求制作、上传电子投标文件。</w:t>
      </w:r>
    </w:p>
    <w:p w14:paraId="0B23F134">
      <w:pPr>
        <w:pBdr>
          <w:top w:val="none" w:color="000000" w:sz="0" w:space="0"/>
          <w:left w:val="none" w:color="000000" w:sz="0" w:space="0"/>
          <w:bottom w:val="none" w:color="000000" w:sz="0" w:space="0"/>
          <w:right w:val="none" w:color="000000" w:sz="0" w:space="0"/>
        </w:pBdr>
        <w:spacing w:line="360" w:lineRule="auto"/>
        <w:rPr>
          <w:rFonts w:ascii="宋体" w:hAnsi="宋体"/>
          <w:bCs/>
          <w:color w:val="auto"/>
          <w:sz w:val="24"/>
          <w:szCs w:val="24"/>
          <w:highlight w:val="none"/>
        </w:rPr>
      </w:pPr>
      <w:r>
        <w:rPr>
          <w:rFonts w:ascii="宋体" w:hAnsi="宋体" w:cs="宋体"/>
          <w:color w:val="auto"/>
          <w:sz w:val="24"/>
          <w:highlight w:val="none"/>
        </w:rPr>
        <w:t>领取CA和办理电子签章（请至扬州市文昌东路9号广陵新城市民中心1号楼5楼办理，具体联系方式：18952716110）。</w:t>
      </w:r>
    </w:p>
    <w:p w14:paraId="58CCFFB4">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 有关本次招标的事项若存在变动或修改，敬请及时关注江苏弘业国际技术工程有限公司在“江苏政府采购网”、“扬州市政府采购网”发布的更正公告。</w:t>
      </w:r>
    </w:p>
    <w:p w14:paraId="6560B427">
      <w:pPr>
        <w:ind w:right="840"/>
        <w:rPr>
          <w:rFonts w:ascii="宋体" w:hAnsi="宋体"/>
          <w:color w:val="auto"/>
          <w:sz w:val="24"/>
          <w:szCs w:val="24"/>
          <w:highlight w:val="none"/>
        </w:rPr>
      </w:pPr>
      <w:r>
        <w:rPr>
          <w:rFonts w:hint="eastAsia" w:ascii="宋体" w:hAnsi="宋体"/>
          <w:bCs/>
          <w:color w:val="auto"/>
          <w:sz w:val="24"/>
          <w:szCs w:val="24"/>
          <w:highlight w:val="none"/>
        </w:rPr>
        <w:t>3. 本次招标不收取投标保证金。</w:t>
      </w:r>
    </w:p>
    <w:p w14:paraId="5BACBCC2">
      <w:pPr>
        <w:jc w:val="both"/>
        <w:rPr>
          <w:rFonts w:hint="eastAsia" w:ascii="黑体" w:eastAsia="黑体"/>
          <w:color w:val="auto"/>
          <w:highlight w:val="none"/>
        </w:rPr>
      </w:pPr>
      <w:bookmarkStart w:id="42" w:name="_Toc120614211"/>
      <w:r>
        <w:rPr>
          <w:rFonts w:hint="eastAsia" w:ascii="黑体" w:eastAsia="黑体"/>
          <w:color w:val="auto"/>
          <w:highlight w:val="none"/>
        </w:rPr>
        <w:br w:type="page"/>
      </w:r>
    </w:p>
    <w:p w14:paraId="5A712045">
      <w:pPr>
        <w:pStyle w:val="234"/>
        <w:ind w:firstLine="2429"/>
        <w:jc w:val="both"/>
        <w:rPr>
          <w:rFonts w:ascii="黑体" w:eastAsia="黑体"/>
          <w:b w:val="0"/>
          <w:bCs w:val="0"/>
          <w:color w:val="auto"/>
          <w:highlight w:val="none"/>
        </w:rPr>
      </w:pPr>
      <w:r>
        <w:rPr>
          <w:rFonts w:hint="eastAsia" w:ascii="黑体" w:eastAsia="黑体"/>
          <w:color w:val="auto"/>
          <w:highlight w:val="none"/>
        </w:rPr>
        <w:t xml:space="preserve">第二章  </w:t>
      </w:r>
      <w:bookmarkEnd w:id="1"/>
      <w:bookmarkEnd w:id="2"/>
      <w:bookmarkEnd w:id="3"/>
      <w:bookmarkEnd w:id="4"/>
      <w:bookmarkEnd w:id="5"/>
      <w:bookmarkEnd w:id="42"/>
      <w:bookmarkStart w:id="43" w:name="_Toc120614213"/>
      <w:bookmarkStart w:id="44" w:name="_Toc16938518"/>
      <w:bookmarkStart w:id="45" w:name="_Toc20823274"/>
      <w:bookmarkStart w:id="46" w:name="_Toc513029202"/>
      <w:r>
        <w:rPr>
          <w:rFonts w:hint="eastAsia" w:ascii="黑体" w:eastAsia="黑体"/>
          <w:color w:val="auto"/>
          <w:highlight w:val="none"/>
        </w:rPr>
        <w:t>投标人须知</w:t>
      </w:r>
      <w:bookmarkEnd w:id="43"/>
      <w:bookmarkEnd w:id="44"/>
      <w:bookmarkEnd w:id="45"/>
      <w:bookmarkEnd w:id="46"/>
    </w:p>
    <w:p w14:paraId="7EAAB5FE">
      <w:pPr>
        <w:pStyle w:val="235"/>
        <w:spacing w:before="145" w:after="145" w:line="360" w:lineRule="auto"/>
        <w:ind w:firstLine="498"/>
        <w:rPr>
          <w:color w:val="auto"/>
          <w:highlight w:val="none"/>
        </w:rPr>
      </w:pPr>
      <w:bookmarkStart w:id="47" w:name="_Toc20823314"/>
      <w:bookmarkStart w:id="48" w:name="_Toc513029242"/>
      <w:bookmarkStart w:id="49" w:name="_Toc479757207"/>
      <w:bookmarkStart w:id="50" w:name="_Toc120614221"/>
      <w:bookmarkStart w:id="51" w:name="_Toc16938558"/>
      <w:r>
        <w:rPr>
          <w:rFonts w:hint="eastAsia"/>
          <w:color w:val="auto"/>
          <w:highlight w:val="none"/>
        </w:rPr>
        <w:t>一、总则</w:t>
      </w:r>
    </w:p>
    <w:p w14:paraId="055F5F94">
      <w:pPr>
        <w:pStyle w:val="47"/>
        <w:spacing w:before="0" w:after="0" w:line="240" w:lineRule="auto"/>
        <w:ind w:firstLine="420"/>
        <w:rPr>
          <w:b w:val="0"/>
          <w:bCs w:val="0"/>
          <w:color w:val="auto"/>
          <w:highlight w:val="none"/>
        </w:rPr>
      </w:pPr>
      <w:r>
        <w:rPr>
          <w:rFonts w:hint="eastAsia"/>
          <w:b w:val="0"/>
          <w:bCs w:val="0"/>
          <w:color w:val="auto"/>
          <w:highlight w:val="none"/>
        </w:rPr>
        <w:t>1、招标方式</w:t>
      </w:r>
    </w:p>
    <w:p w14:paraId="46298A2B">
      <w:pPr>
        <w:spacing w:line="500" w:lineRule="exact"/>
        <w:ind w:firstLine="480"/>
        <w:rPr>
          <w:rFonts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5917A05C">
      <w:pPr>
        <w:pStyle w:val="47"/>
        <w:spacing w:before="0" w:after="0" w:line="240" w:lineRule="auto"/>
        <w:ind w:firstLine="420"/>
        <w:rPr>
          <w:b w:val="0"/>
          <w:bCs w:val="0"/>
          <w:color w:val="auto"/>
          <w:highlight w:val="none"/>
        </w:rPr>
      </w:pPr>
      <w:r>
        <w:rPr>
          <w:rFonts w:hint="eastAsia"/>
          <w:b w:val="0"/>
          <w:bCs w:val="0"/>
          <w:color w:val="auto"/>
          <w:highlight w:val="none"/>
        </w:rPr>
        <w:t>2、合格的投标人</w:t>
      </w:r>
    </w:p>
    <w:p w14:paraId="69BA241F">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2.1满足招标公告中供应商的资格要求的规定。</w:t>
      </w:r>
    </w:p>
    <w:p w14:paraId="690C44DC">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21449190">
      <w:pPr>
        <w:pStyle w:val="47"/>
        <w:spacing w:before="0" w:after="0" w:line="240" w:lineRule="auto"/>
        <w:ind w:firstLine="420"/>
        <w:rPr>
          <w:b w:val="0"/>
          <w:bCs w:val="0"/>
          <w:color w:val="auto"/>
          <w:highlight w:val="none"/>
        </w:rPr>
      </w:pPr>
      <w:r>
        <w:rPr>
          <w:rFonts w:hint="eastAsia"/>
          <w:b w:val="0"/>
          <w:bCs w:val="0"/>
          <w:color w:val="auto"/>
          <w:highlight w:val="none"/>
        </w:rPr>
        <w:t>3、适用法律</w:t>
      </w:r>
    </w:p>
    <w:p w14:paraId="52CB0B6B">
      <w:pPr>
        <w:spacing w:line="400" w:lineRule="exact"/>
        <w:ind w:firstLine="42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43B9FE7">
      <w:pPr>
        <w:pStyle w:val="47"/>
        <w:spacing w:before="0" w:after="0" w:line="240" w:lineRule="auto"/>
        <w:ind w:firstLine="420"/>
        <w:rPr>
          <w:b w:val="0"/>
          <w:bCs w:val="0"/>
          <w:color w:val="auto"/>
          <w:highlight w:val="none"/>
        </w:rPr>
      </w:pPr>
      <w:r>
        <w:rPr>
          <w:rFonts w:hint="eastAsia"/>
          <w:b w:val="0"/>
          <w:bCs w:val="0"/>
          <w:color w:val="auto"/>
          <w:highlight w:val="none"/>
        </w:rPr>
        <w:t>4、投标费用</w:t>
      </w:r>
    </w:p>
    <w:p w14:paraId="22AD7973">
      <w:pPr>
        <w:spacing w:line="500" w:lineRule="exact"/>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投标人应自行承担所有与参加投标有关的费用，无论投标过程中的做法和结果如何，江苏弘业国际技术工程有限公司</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以下简称“代理机构”</w:t>
      </w:r>
      <w:r>
        <w:rPr>
          <w:rFonts w:hint="eastAsia" w:ascii="宋体" w:hAnsi="宋体"/>
          <w:color w:val="auto"/>
          <w:sz w:val="24"/>
          <w:highlight w:val="none"/>
          <w:lang w:eastAsia="zh-CN"/>
        </w:rPr>
        <w:t>）</w:t>
      </w:r>
      <w:r>
        <w:rPr>
          <w:rFonts w:hint="eastAsia" w:ascii="宋体" w:hAnsi="宋体"/>
          <w:color w:val="auto"/>
          <w:sz w:val="24"/>
          <w:highlight w:val="none"/>
        </w:rPr>
        <w:t>在任何情况下均无义务和责任承担这些费用。</w:t>
      </w:r>
    </w:p>
    <w:p w14:paraId="7CE3ABF2">
      <w:pPr>
        <w:spacing w:line="500" w:lineRule="exact"/>
        <w:ind w:firstLine="480"/>
        <w:rPr>
          <w:rFonts w:hint="eastAsia" w:ascii="宋体" w:hAnsi="宋体"/>
          <w:color w:val="auto"/>
          <w:sz w:val="24"/>
          <w:highlight w:val="none"/>
          <w:lang w:eastAsia="zh-CN"/>
        </w:rPr>
      </w:pPr>
      <w:r>
        <w:rPr>
          <w:rFonts w:hint="eastAsia" w:ascii="宋体" w:hAnsi="宋体"/>
          <w:color w:val="auto"/>
          <w:sz w:val="24"/>
          <w:highlight w:val="none"/>
        </w:rPr>
        <w:t>4.2本次招标代理机构和采购人不收取标书工本费</w:t>
      </w:r>
      <w:r>
        <w:rPr>
          <w:rFonts w:hint="eastAsia" w:ascii="宋体" w:hAnsi="宋体"/>
          <w:color w:val="auto"/>
          <w:sz w:val="24"/>
          <w:highlight w:val="none"/>
          <w:lang w:eastAsia="zh-CN"/>
        </w:rPr>
        <w:t>。</w:t>
      </w:r>
    </w:p>
    <w:p w14:paraId="699BC76A">
      <w:pPr>
        <w:autoSpaceDE/>
        <w:spacing w:line="500" w:lineRule="exact"/>
        <w:ind w:firstLine="480"/>
        <w:rPr>
          <w:rFonts w:hint="eastAsia" w:ascii="宋体" w:hAnsi="宋体" w:eastAsia="宋体" w:cs="Times New Roman"/>
          <w:color w:val="auto"/>
          <w:kern w:val="0"/>
          <w:sz w:val="24"/>
          <w:szCs w:val="21"/>
          <w:highlight w:val="none"/>
          <w:lang w:val="en-US" w:eastAsia="zh-CN" w:bidi="ar-SA"/>
        </w:rPr>
      </w:pPr>
      <w:r>
        <w:rPr>
          <w:rFonts w:hint="eastAsia" w:ascii="宋体" w:hAnsi="宋体" w:eastAsia="宋体" w:cs="Times New Roman"/>
          <w:color w:val="auto"/>
          <w:sz w:val="24"/>
          <w:highlight w:val="none"/>
          <w:lang w:val="en-US" w:eastAsia="zh-CN"/>
        </w:rPr>
        <w:t>4.3代理费收费标准：</w:t>
      </w:r>
      <w:r>
        <w:rPr>
          <w:rFonts w:hint="eastAsia" w:ascii="宋体" w:hAnsi="宋体" w:eastAsia="宋体" w:cs="Times New Roman"/>
          <w:color w:val="auto"/>
          <w:kern w:val="0"/>
          <w:sz w:val="24"/>
          <w:szCs w:val="21"/>
          <w:highlight w:val="none"/>
          <w:lang w:val="en-US" w:eastAsia="zh-CN" w:bidi="ar-SA"/>
        </w:rPr>
        <w:t>本项目采购代理服务费参照招标代理服务收费管理暂行办法[计价格 ［2002］1980号]文</w:t>
      </w:r>
      <w:r>
        <w:rPr>
          <w:rFonts w:hint="eastAsia" w:ascii="宋体" w:hAnsi="宋体" w:cs="Times New Roman"/>
          <w:color w:val="auto"/>
          <w:kern w:val="0"/>
          <w:sz w:val="24"/>
          <w:szCs w:val="21"/>
          <w:highlight w:val="none"/>
          <w:lang w:val="en-US" w:eastAsia="zh-CN" w:bidi="ar-SA"/>
        </w:rPr>
        <w:t>的40％</w:t>
      </w:r>
      <w:r>
        <w:rPr>
          <w:rFonts w:hint="eastAsia" w:ascii="宋体" w:hAnsi="宋体" w:eastAsia="宋体" w:cs="Times New Roman"/>
          <w:color w:val="auto"/>
          <w:kern w:val="0"/>
          <w:sz w:val="24"/>
          <w:szCs w:val="21"/>
          <w:highlight w:val="none"/>
          <w:lang w:val="en-US" w:eastAsia="zh-CN" w:bidi="ar-SA"/>
        </w:rPr>
        <w:t>收取，应在领取中标通知书前缴纳。专家评审费按扬财购【2020】40号文《关于进一步规范扬州市政府采购专家评审费标准的通知》执行。服务费应在领取中标通知书前缴纳。</w:t>
      </w:r>
    </w:p>
    <w:p w14:paraId="41F27B54">
      <w:pPr>
        <w:autoSpaceDE/>
        <w:spacing w:line="500" w:lineRule="exact"/>
        <w:ind w:firstLine="480"/>
        <w:rPr>
          <w:rFonts w:hint="eastAsia" w:ascii="宋体" w:hAnsi="宋体" w:eastAsia="宋体" w:cs="Times New Roman"/>
          <w:color w:val="auto"/>
          <w:kern w:val="0"/>
          <w:sz w:val="24"/>
          <w:szCs w:val="21"/>
          <w:highlight w:val="none"/>
          <w:lang w:val="en-US" w:eastAsia="zh-CN" w:bidi="ar-SA"/>
        </w:rPr>
      </w:pPr>
      <w:r>
        <w:rPr>
          <w:rFonts w:hint="eastAsia" w:ascii="宋体" w:hAnsi="宋体" w:eastAsia="宋体" w:cs="Times New Roman"/>
          <w:color w:val="auto"/>
          <w:kern w:val="0"/>
          <w:sz w:val="24"/>
          <w:szCs w:val="21"/>
          <w:highlight w:val="none"/>
          <w:lang w:val="en-US" w:eastAsia="zh-CN" w:bidi="ar-SA"/>
        </w:rPr>
        <w:t>账户信息：</w:t>
      </w:r>
    </w:p>
    <w:p w14:paraId="43C60696">
      <w:pPr>
        <w:autoSpaceDE/>
        <w:spacing w:line="500" w:lineRule="exact"/>
        <w:ind w:firstLine="480"/>
        <w:rPr>
          <w:rFonts w:hint="eastAsia" w:ascii="宋体" w:hAnsi="宋体" w:eastAsia="宋体" w:cs="Times New Roman"/>
          <w:color w:val="auto"/>
          <w:kern w:val="0"/>
          <w:sz w:val="24"/>
          <w:szCs w:val="21"/>
          <w:highlight w:val="none"/>
          <w:lang w:val="en-US" w:bidi="ar-SA"/>
        </w:rPr>
      </w:pPr>
      <w:r>
        <w:rPr>
          <w:rFonts w:hint="eastAsia" w:ascii="宋体" w:hAnsi="宋体" w:eastAsia="宋体" w:cs="Times New Roman"/>
          <w:color w:val="auto"/>
          <w:kern w:val="0"/>
          <w:sz w:val="24"/>
          <w:szCs w:val="21"/>
          <w:highlight w:val="none"/>
          <w:lang w:val="en-US" w:bidi="ar-SA"/>
        </w:rPr>
        <w:tab/>
      </w:r>
      <w:r>
        <w:rPr>
          <w:rFonts w:hint="eastAsia" w:ascii="宋体" w:hAnsi="宋体" w:eastAsia="宋体" w:cs="Times New Roman"/>
          <w:color w:val="auto"/>
          <w:kern w:val="0"/>
          <w:sz w:val="24"/>
          <w:szCs w:val="21"/>
          <w:highlight w:val="none"/>
          <w:lang w:val="en-US" w:bidi="ar-SA"/>
        </w:rPr>
        <w:t>户    名：江苏弘业国际技术工程有限公司</w:t>
      </w:r>
    </w:p>
    <w:p w14:paraId="5B137A24">
      <w:pPr>
        <w:autoSpaceDE/>
        <w:spacing w:line="500" w:lineRule="exact"/>
        <w:ind w:firstLine="480"/>
        <w:rPr>
          <w:rFonts w:hint="eastAsia" w:ascii="宋体" w:hAnsi="宋体" w:eastAsia="宋体" w:cs="Times New Roman"/>
          <w:color w:val="auto"/>
          <w:kern w:val="0"/>
          <w:sz w:val="24"/>
          <w:szCs w:val="21"/>
          <w:highlight w:val="none"/>
          <w:lang w:val="en-US" w:bidi="ar-SA"/>
        </w:rPr>
      </w:pPr>
      <w:r>
        <w:rPr>
          <w:rFonts w:hint="eastAsia" w:ascii="宋体" w:hAnsi="宋体" w:eastAsia="宋体" w:cs="Times New Roman"/>
          <w:color w:val="auto"/>
          <w:kern w:val="0"/>
          <w:sz w:val="24"/>
          <w:szCs w:val="21"/>
          <w:highlight w:val="none"/>
          <w:lang w:val="en-US" w:bidi="ar-SA"/>
        </w:rPr>
        <w:tab/>
      </w:r>
      <w:r>
        <w:rPr>
          <w:rFonts w:hint="eastAsia" w:ascii="宋体" w:hAnsi="宋体" w:eastAsia="宋体" w:cs="Times New Roman"/>
          <w:color w:val="auto"/>
          <w:kern w:val="0"/>
          <w:sz w:val="24"/>
          <w:szCs w:val="21"/>
          <w:highlight w:val="none"/>
          <w:lang w:val="en-US" w:bidi="ar-SA"/>
        </w:rPr>
        <w:t xml:space="preserve">开户银行：中国银行南京市中华路支行   </w:t>
      </w:r>
    </w:p>
    <w:p w14:paraId="3AF1FFBE">
      <w:pPr>
        <w:spacing w:line="500" w:lineRule="exact"/>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kern w:val="0"/>
          <w:sz w:val="24"/>
          <w:szCs w:val="21"/>
          <w:highlight w:val="none"/>
          <w:lang w:val="en-US" w:bidi="ar-SA"/>
        </w:rPr>
        <w:tab/>
      </w:r>
      <w:r>
        <w:rPr>
          <w:rFonts w:hint="eastAsia" w:ascii="宋体" w:hAnsi="宋体" w:eastAsia="宋体" w:cs="Times New Roman"/>
          <w:color w:val="auto"/>
          <w:kern w:val="0"/>
          <w:sz w:val="24"/>
          <w:szCs w:val="21"/>
          <w:highlight w:val="none"/>
          <w:lang w:val="en-US" w:bidi="ar-SA"/>
        </w:rPr>
        <w:t>账    号：527460884999</w:t>
      </w:r>
    </w:p>
    <w:p w14:paraId="717CDEF8">
      <w:pPr>
        <w:pStyle w:val="47"/>
        <w:spacing w:before="0" w:after="0" w:line="480" w:lineRule="exact"/>
        <w:ind w:firstLine="602"/>
        <w:rPr>
          <w:rFonts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028D5924">
      <w:pPr>
        <w:spacing w:line="480" w:lineRule="exact"/>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42FF42E4">
      <w:pPr>
        <w:pStyle w:val="235"/>
        <w:spacing w:before="145" w:after="145" w:line="360" w:lineRule="auto"/>
        <w:ind w:firstLine="321"/>
        <w:rPr>
          <w:color w:val="auto"/>
          <w:highlight w:val="none"/>
        </w:rPr>
      </w:pPr>
      <w:r>
        <w:rPr>
          <w:rFonts w:hint="eastAsia"/>
          <w:color w:val="auto"/>
          <w:highlight w:val="none"/>
        </w:rPr>
        <w:t>二、招标文件</w:t>
      </w:r>
    </w:p>
    <w:p w14:paraId="423D0408">
      <w:pPr>
        <w:pStyle w:val="47"/>
        <w:spacing w:before="0" w:after="0" w:line="240" w:lineRule="auto"/>
        <w:ind w:firstLine="420"/>
        <w:rPr>
          <w:b w:val="0"/>
          <w:bCs w:val="0"/>
          <w:color w:val="auto"/>
          <w:highlight w:val="none"/>
        </w:rPr>
      </w:pPr>
      <w:r>
        <w:rPr>
          <w:rFonts w:hint="eastAsia"/>
          <w:b w:val="0"/>
          <w:bCs w:val="0"/>
          <w:color w:val="auto"/>
          <w:highlight w:val="none"/>
        </w:rPr>
        <w:t>6、招标文件构成</w:t>
      </w:r>
    </w:p>
    <w:p w14:paraId="46F016B0">
      <w:pPr>
        <w:spacing w:line="500" w:lineRule="exact"/>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64780718">
      <w:pPr>
        <w:spacing w:line="400" w:lineRule="exact"/>
        <w:ind w:firstLine="36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23BCD121">
      <w:pPr>
        <w:spacing w:line="400" w:lineRule="exact"/>
        <w:ind w:firstLine="360"/>
        <w:rPr>
          <w:rFonts w:ascii="宋体" w:hAnsi="宋体"/>
          <w:color w:val="auto"/>
          <w:sz w:val="24"/>
          <w:szCs w:val="24"/>
          <w:highlight w:val="none"/>
        </w:rPr>
      </w:pPr>
      <w:r>
        <w:rPr>
          <w:rFonts w:hint="eastAsia" w:ascii="宋体" w:hAnsi="宋体"/>
          <w:color w:val="auto"/>
          <w:sz w:val="24"/>
          <w:szCs w:val="24"/>
          <w:highlight w:val="none"/>
        </w:rPr>
        <w:t>（2）投标人须知</w:t>
      </w:r>
    </w:p>
    <w:p w14:paraId="1F757E57">
      <w:pPr>
        <w:spacing w:line="400" w:lineRule="exact"/>
        <w:ind w:firstLine="360"/>
        <w:rPr>
          <w:rFonts w:ascii="宋体" w:hAnsi="宋体"/>
          <w:color w:val="auto"/>
          <w:sz w:val="24"/>
          <w:szCs w:val="24"/>
          <w:highlight w:val="none"/>
        </w:rPr>
      </w:pPr>
      <w:r>
        <w:rPr>
          <w:rFonts w:hint="eastAsia" w:ascii="宋体" w:hAnsi="宋体"/>
          <w:color w:val="auto"/>
          <w:sz w:val="24"/>
          <w:szCs w:val="24"/>
          <w:highlight w:val="none"/>
        </w:rPr>
        <w:t>（3）合同文本</w:t>
      </w:r>
    </w:p>
    <w:p w14:paraId="72C6CFF3">
      <w:pPr>
        <w:spacing w:line="400" w:lineRule="exact"/>
        <w:ind w:firstLine="360"/>
        <w:rPr>
          <w:rFonts w:ascii="宋体" w:hAnsi="宋体"/>
          <w:color w:val="auto"/>
          <w:sz w:val="24"/>
          <w:szCs w:val="24"/>
          <w:highlight w:val="none"/>
        </w:rPr>
      </w:pPr>
      <w:r>
        <w:rPr>
          <w:rFonts w:hint="eastAsia" w:ascii="宋体" w:hAnsi="宋体"/>
          <w:color w:val="auto"/>
          <w:sz w:val="24"/>
          <w:szCs w:val="24"/>
          <w:highlight w:val="none"/>
        </w:rPr>
        <w:t>（4）采购需求</w:t>
      </w:r>
    </w:p>
    <w:p w14:paraId="301B72A8">
      <w:pPr>
        <w:ind w:firstLine="36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1266649B">
      <w:pPr>
        <w:spacing w:line="400" w:lineRule="exact"/>
        <w:ind w:firstLine="360"/>
        <w:rPr>
          <w:rFonts w:ascii="宋体" w:hAnsi="宋体"/>
          <w:color w:val="auto"/>
          <w:sz w:val="24"/>
          <w:szCs w:val="24"/>
          <w:highlight w:val="none"/>
        </w:rPr>
      </w:pPr>
      <w:r>
        <w:rPr>
          <w:rFonts w:hint="eastAsia" w:ascii="宋体" w:hAnsi="宋体"/>
          <w:color w:val="auto"/>
          <w:sz w:val="24"/>
          <w:szCs w:val="24"/>
          <w:highlight w:val="none"/>
        </w:rPr>
        <w:t>（6）投标文件格式</w:t>
      </w:r>
    </w:p>
    <w:p w14:paraId="11A6301A">
      <w:pPr>
        <w:spacing w:line="500" w:lineRule="exact"/>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eastAsia="zh-CN"/>
        </w:rPr>
        <w:t>代理机构</w:t>
      </w:r>
      <w:r>
        <w:rPr>
          <w:rFonts w:hint="eastAsia" w:ascii="宋体" w:hAnsi="宋体"/>
          <w:color w:val="auto"/>
          <w:sz w:val="24"/>
          <w:highlight w:val="none"/>
        </w:rPr>
        <w:t>联系解决。</w:t>
      </w:r>
    </w:p>
    <w:p w14:paraId="31C0FD88">
      <w:pPr>
        <w:spacing w:line="500" w:lineRule="exact"/>
        <w:ind w:firstLine="480"/>
        <w:rPr>
          <w:rFonts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4498BB2">
      <w:pPr>
        <w:pStyle w:val="47"/>
        <w:spacing w:before="0" w:after="0" w:line="240" w:lineRule="auto"/>
        <w:ind w:firstLine="560"/>
        <w:rPr>
          <w:b w:val="0"/>
          <w:bCs w:val="0"/>
          <w:color w:val="auto"/>
          <w:highlight w:val="none"/>
        </w:rPr>
      </w:pPr>
      <w:r>
        <w:rPr>
          <w:rFonts w:hint="eastAsia"/>
          <w:b w:val="0"/>
          <w:bCs w:val="0"/>
          <w:color w:val="auto"/>
          <w:highlight w:val="none"/>
        </w:rPr>
        <w:t>7、招标文件的澄清</w:t>
      </w:r>
    </w:p>
    <w:p w14:paraId="460059ED">
      <w:pPr>
        <w:spacing w:line="480" w:lineRule="exact"/>
        <w:ind w:firstLine="480"/>
        <w:rPr>
          <w:rFonts w:ascii="宋体" w:hAnsi="宋体"/>
          <w:color w:val="auto"/>
          <w:sz w:val="24"/>
          <w:szCs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szCs w:val="24"/>
          <w:highlight w:val="none"/>
        </w:rPr>
        <w:t>十日</w:t>
      </w:r>
      <w:r>
        <w:rPr>
          <w:rFonts w:hint="eastAsia" w:ascii="仿宋_GB2312" w:hAnsi="仿宋_GB2312"/>
          <w:color w:val="auto"/>
          <w:sz w:val="24"/>
          <w:szCs w:val="24"/>
          <w:highlight w:val="none"/>
        </w:rPr>
        <w:t>前</w:t>
      </w:r>
      <w:r>
        <w:rPr>
          <w:rFonts w:hint="eastAsia" w:ascii="宋体" w:hAnsi="宋体"/>
          <w:color w:val="auto"/>
          <w:sz w:val="24"/>
          <w:highlight w:val="none"/>
        </w:rPr>
        <w:t>按招标公告中的通讯地址，以书面形式通知</w:t>
      </w:r>
      <w:r>
        <w:rPr>
          <w:rFonts w:hint="eastAsia" w:ascii="宋体" w:hAnsi="宋体"/>
          <w:color w:val="auto"/>
          <w:sz w:val="24"/>
          <w:highlight w:val="none"/>
          <w:lang w:eastAsia="zh-CN"/>
        </w:rPr>
        <w:t>代理机构</w:t>
      </w:r>
      <w:r>
        <w:rPr>
          <w:rFonts w:hint="eastAsia" w:ascii="宋体" w:hAnsi="宋体"/>
          <w:color w:val="auto"/>
          <w:sz w:val="24"/>
          <w:highlight w:val="none"/>
        </w:rPr>
        <w:t>。</w:t>
      </w:r>
    </w:p>
    <w:p w14:paraId="676EA560">
      <w:pPr>
        <w:pStyle w:val="47"/>
        <w:spacing w:before="0" w:after="0" w:line="240" w:lineRule="auto"/>
        <w:ind w:firstLine="560"/>
        <w:rPr>
          <w:b w:val="0"/>
          <w:bCs w:val="0"/>
          <w:color w:val="auto"/>
          <w:highlight w:val="none"/>
        </w:rPr>
      </w:pPr>
      <w:r>
        <w:rPr>
          <w:rFonts w:hint="eastAsia"/>
          <w:b w:val="0"/>
          <w:bCs w:val="0"/>
          <w:color w:val="auto"/>
          <w:highlight w:val="none"/>
        </w:rPr>
        <w:t>8、招标文件的修改</w:t>
      </w:r>
    </w:p>
    <w:p w14:paraId="33E8D602">
      <w:pPr>
        <w:spacing w:line="500" w:lineRule="exact"/>
        <w:ind w:firstLine="480"/>
        <w:rPr>
          <w:rFonts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w:t>
      </w:r>
      <w:r>
        <w:rPr>
          <w:rFonts w:hint="eastAsia" w:ascii="宋体" w:hAnsi="宋体"/>
          <w:color w:val="auto"/>
          <w:sz w:val="24"/>
          <w:highlight w:val="none"/>
          <w:lang w:eastAsia="zh-CN"/>
        </w:rPr>
        <w:t>代理机构</w:t>
      </w:r>
      <w:r>
        <w:rPr>
          <w:rFonts w:hint="eastAsia" w:ascii="宋体" w:hAnsi="宋体"/>
          <w:color w:val="auto"/>
          <w:sz w:val="24"/>
          <w:highlight w:val="none"/>
        </w:rPr>
        <w:t>可以对招标文件进行修改。</w:t>
      </w:r>
    </w:p>
    <w:p w14:paraId="522D67CE">
      <w:pPr>
        <w:spacing w:line="500" w:lineRule="exact"/>
        <w:ind w:firstLine="480"/>
        <w:rPr>
          <w:rFonts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lang w:eastAsia="zh-CN"/>
        </w:rPr>
        <w:t>代理机构</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14:paraId="7CC4721A">
      <w:pPr>
        <w:spacing w:line="500" w:lineRule="exact"/>
        <w:ind w:firstLine="480"/>
        <w:rPr>
          <w:rFonts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招标文件的修改将在江苏政府采购网、扬州市政府采购网公布，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14:paraId="499E199B">
      <w:pPr>
        <w:pStyle w:val="235"/>
        <w:spacing w:before="145" w:after="145" w:line="360" w:lineRule="auto"/>
        <w:ind w:firstLine="482"/>
        <w:rPr>
          <w:color w:val="auto"/>
          <w:highlight w:val="none"/>
        </w:rPr>
      </w:pPr>
      <w:r>
        <w:rPr>
          <w:rFonts w:hint="eastAsia"/>
          <w:color w:val="auto"/>
          <w:highlight w:val="none"/>
        </w:rPr>
        <w:t>三、投标文件的编制</w:t>
      </w:r>
    </w:p>
    <w:p w14:paraId="3142A413">
      <w:pPr>
        <w:pStyle w:val="47"/>
        <w:spacing w:before="0" w:after="0" w:line="240" w:lineRule="auto"/>
        <w:ind w:firstLine="560"/>
        <w:rPr>
          <w:bCs w:val="0"/>
          <w:color w:val="auto"/>
          <w:highlight w:val="none"/>
        </w:rPr>
      </w:pPr>
      <w:r>
        <w:rPr>
          <w:rFonts w:hint="eastAsia"/>
          <w:b w:val="0"/>
          <w:bCs w:val="0"/>
          <w:color w:val="auto"/>
          <w:highlight w:val="none"/>
        </w:rPr>
        <w:t>9、投标文件的语言及度量衡单位</w:t>
      </w:r>
    </w:p>
    <w:p w14:paraId="34241C85">
      <w:pPr>
        <w:spacing w:line="500" w:lineRule="exact"/>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color w:val="auto"/>
          <w:sz w:val="24"/>
          <w:highlight w:val="none"/>
          <w:lang w:eastAsia="zh-CN"/>
        </w:rPr>
        <w:t>代理机构</w:t>
      </w:r>
      <w:r>
        <w:rPr>
          <w:rFonts w:hint="eastAsia" w:ascii="宋体" w:hAnsi="宋体"/>
          <w:color w:val="auto"/>
          <w:sz w:val="24"/>
          <w:highlight w:val="none"/>
        </w:rPr>
        <w:t>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322B19AF">
      <w:pPr>
        <w:spacing w:line="500" w:lineRule="exact"/>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7EA94A2A">
      <w:pPr>
        <w:pStyle w:val="47"/>
        <w:spacing w:before="0" w:after="0" w:line="240" w:lineRule="auto"/>
        <w:ind w:firstLine="420"/>
        <w:rPr>
          <w:b w:val="0"/>
          <w:bCs w:val="0"/>
          <w:color w:val="auto"/>
          <w:highlight w:val="none"/>
        </w:rPr>
      </w:pPr>
      <w:r>
        <w:rPr>
          <w:rFonts w:hint="eastAsia"/>
          <w:b w:val="0"/>
          <w:bCs w:val="0"/>
          <w:color w:val="auto"/>
          <w:highlight w:val="none"/>
        </w:rPr>
        <w:t>10、投标文件构成</w:t>
      </w:r>
    </w:p>
    <w:p w14:paraId="1637FFD9">
      <w:pPr>
        <w:spacing w:line="440" w:lineRule="exact"/>
        <w:ind w:firstLine="480"/>
        <w:rPr>
          <w:rFonts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14:paraId="720EBE6D">
      <w:pPr>
        <w:spacing w:line="440" w:lineRule="exact"/>
        <w:ind w:firstLine="480"/>
        <w:rPr>
          <w:rFonts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如标书制作工具中格式和内容与“江苏政府采购网”发布的招标文件不一致，请以“江苏政府采购网”发布的招标文件为准。</w:t>
      </w:r>
    </w:p>
    <w:p w14:paraId="474E0952">
      <w:pPr>
        <w:pStyle w:val="47"/>
        <w:spacing w:before="0" w:after="0" w:line="240" w:lineRule="auto"/>
        <w:ind w:firstLine="420"/>
        <w:rPr>
          <w:b w:val="0"/>
          <w:bCs w:val="0"/>
          <w:color w:val="auto"/>
          <w:highlight w:val="none"/>
        </w:rPr>
      </w:pPr>
      <w:r>
        <w:rPr>
          <w:rFonts w:hint="eastAsia"/>
          <w:b w:val="0"/>
          <w:bCs w:val="0"/>
          <w:color w:val="auto"/>
          <w:highlight w:val="none"/>
        </w:rPr>
        <w:t>11、证明投标人及投标标的符合招标文件规定的文件</w:t>
      </w:r>
    </w:p>
    <w:p w14:paraId="1B42D2A7">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p>
    <w:p w14:paraId="346F8387">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BE9F7F7">
      <w:pPr>
        <w:pStyle w:val="47"/>
        <w:spacing w:before="0" w:after="0" w:line="240" w:lineRule="auto"/>
        <w:ind w:firstLine="420"/>
        <w:rPr>
          <w:b w:val="0"/>
          <w:bCs w:val="0"/>
          <w:color w:val="auto"/>
          <w:highlight w:val="none"/>
        </w:rPr>
      </w:pPr>
      <w:r>
        <w:rPr>
          <w:rFonts w:hint="eastAsia"/>
          <w:b w:val="0"/>
          <w:bCs w:val="0"/>
          <w:color w:val="auto"/>
          <w:highlight w:val="none"/>
        </w:rPr>
        <w:t>12、投标分项报价表</w:t>
      </w:r>
    </w:p>
    <w:p w14:paraId="4771B2AE">
      <w:pPr>
        <w:spacing w:line="500" w:lineRule="exact"/>
        <w:ind w:firstLine="480"/>
        <w:rPr>
          <w:rFonts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投标人应按照招标文件规定格式填报投标分项报价表。</w:t>
      </w:r>
    </w:p>
    <w:p w14:paraId="0251CF99">
      <w:pPr>
        <w:spacing w:line="500" w:lineRule="exact"/>
        <w:ind w:firstLine="480"/>
        <w:rPr>
          <w:rFonts w:ascii="宋体" w:hAnsi="宋体"/>
          <w:bCs/>
          <w:color w:val="auto"/>
          <w:sz w:val="24"/>
          <w:highlight w:val="none"/>
        </w:rPr>
      </w:pPr>
      <w:r>
        <w:rPr>
          <w:rFonts w:hint="eastAsia" w:ascii="宋体" w:hAnsi="宋体"/>
          <w:color w:val="auto"/>
          <w:sz w:val="24"/>
          <w:highlight w:val="none"/>
        </w:rPr>
        <w:t>12.2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2D567674">
      <w:pPr>
        <w:pStyle w:val="47"/>
        <w:spacing w:before="0" w:after="0" w:line="240" w:lineRule="auto"/>
        <w:ind w:firstLine="420"/>
        <w:rPr>
          <w:b w:val="0"/>
          <w:bCs w:val="0"/>
          <w:color w:val="auto"/>
          <w:highlight w:val="none"/>
        </w:rPr>
      </w:pPr>
      <w:r>
        <w:rPr>
          <w:rFonts w:hint="eastAsia"/>
          <w:b w:val="0"/>
          <w:bCs w:val="0"/>
          <w:color w:val="auto"/>
          <w:highlight w:val="none"/>
        </w:rPr>
        <w:t>13、技术要求响应及偏离表、商务要求响应及偏离表</w:t>
      </w:r>
    </w:p>
    <w:p w14:paraId="64E54670">
      <w:pPr>
        <w:spacing w:line="500" w:lineRule="exact"/>
        <w:ind w:firstLine="480"/>
        <w:rPr>
          <w:rFonts w:ascii="宋体" w:hAnsi="Arial" w:cs="宋体"/>
          <w:color w:val="auto"/>
          <w:sz w:val="24"/>
          <w:highlight w:val="none"/>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43DDC96A">
      <w:pPr>
        <w:tabs>
          <w:tab w:val="left" w:pos="1035"/>
        </w:tabs>
        <w:spacing w:line="500" w:lineRule="exact"/>
        <w:ind w:firstLine="480"/>
        <w:rPr>
          <w:rFonts w:hint="eastAsia" w:ascii="宋体" w:hAnsi="Arial" w:cs="宋体"/>
          <w:color w:val="auto"/>
          <w:sz w:val="24"/>
          <w:highlight w:val="none"/>
          <w:lang w:val="zh-CN"/>
        </w:rPr>
      </w:pPr>
      <w:r>
        <w:rPr>
          <w:rFonts w:hint="eastAsia" w:ascii="宋体" w:hAnsi="Arial" w:cs="宋体"/>
          <w:color w:val="auto"/>
          <w:sz w:val="24"/>
          <w:highlight w:val="none"/>
          <w:lang w:val="zh-CN"/>
        </w:rPr>
        <w:t>13.2 投标人可在投标文件中提供认为需要的其他技术文件或说明。</w:t>
      </w:r>
    </w:p>
    <w:p w14:paraId="094D341D">
      <w:pPr>
        <w:keepNext/>
        <w:keepLines/>
        <w:ind w:firstLine="420" w:firstLineChars="15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14、服务承诺、培训计划、人员安排及其他</w:t>
      </w:r>
    </w:p>
    <w:p w14:paraId="27A6AD99">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rPr>
        <w:t>投标人需根据招标文件要求提供有关售后服务的管理制度，售后服务机构的分布情况，售后服务人员的数量、素质、技术水平及售后服务的反应能力等。</w:t>
      </w:r>
    </w:p>
    <w:p w14:paraId="0156CE9D">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投标人需根据招标文件要求提供培训计划。</w:t>
      </w:r>
    </w:p>
    <w:p w14:paraId="77C7FB3E">
      <w:pPr>
        <w:spacing w:line="480" w:lineRule="exact"/>
        <w:ind w:firstLine="480"/>
        <w:rPr>
          <w:color w:val="auto"/>
          <w:highlight w:val="none"/>
        </w:rPr>
      </w:pPr>
      <w:r>
        <w:rPr>
          <w:rFonts w:hint="eastAsia" w:ascii="宋体" w:hAnsi="宋体"/>
          <w:color w:val="auto"/>
          <w:sz w:val="24"/>
          <w:szCs w:val="24"/>
          <w:highlight w:val="none"/>
        </w:rPr>
        <w:t>14.3  投标人需根据招标文件要求提供</w:t>
      </w:r>
      <w:r>
        <w:rPr>
          <w:rFonts w:hint="eastAsia" w:ascii="宋体" w:hAnsi="Arial" w:cs="宋体"/>
          <w:color w:val="auto"/>
          <w:sz w:val="24"/>
          <w:szCs w:val="21"/>
          <w:highlight w:val="none"/>
          <w:lang w:val="zh-CN"/>
        </w:rPr>
        <w:t>所投标的的主要组成部分、功能设计、实现思路及关键技术等。</w:t>
      </w:r>
    </w:p>
    <w:p w14:paraId="724CA8AB">
      <w:pPr>
        <w:pStyle w:val="47"/>
        <w:spacing w:before="0" w:after="0" w:line="240" w:lineRule="auto"/>
        <w:ind w:firstLine="420"/>
        <w:rPr>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5</w:t>
      </w:r>
      <w:r>
        <w:rPr>
          <w:rFonts w:hint="eastAsia"/>
          <w:b w:val="0"/>
          <w:bCs w:val="0"/>
          <w:color w:val="auto"/>
          <w:highlight w:val="none"/>
        </w:rPr>
        <w:t>、投标函和开标一览表</w:t>
      </w:r>
    </w:p>
    <w:p w14:paraId="5DC6F81F">
      <w:pPr>
        <w:spacing w:line="500" w:lineRule="exact"/>
        <w:ind w:firstLine="480"/>
        <w:rPr>
          <w:rFonts w:ascii="宋体" w:hAnsi="宋体"/>
          <w:color w:val="auto"/>
          <w:sz w:val="24"/>
          <w:highlight w:val="none"/>
        </w:rPr>
      </w:pPr>
      <w:r>
        <w:rPr>
          <w:rFonts w:hint="eastAsia" w:ascii="宋体" w:hAnsi="宋体"/>
          <w:bCs/>
          <w:color w:val="auto"/>
          <w:sz w:val="24"/>
          <w:highlight w:val="none"/>
        </w:rPr>
        <w:t>1</w:t>
      </w:r>
      <w:r>
        <w:rPr>
          <w:rFonts w:hint="eastAsia" w:ascii="宋体" w:hAnsi="宋体"/>
          <w:bCs/>
          <w:color w:val="auto"/>
          <w:sz w:val="24"/>
          <w:highlight w:val="none"/>
          <w:lang w:val="en-US" w:eastAsia="zh-CN"/>
        </w:rPr>
        <w:t>5</w:t>
      </w:r>
      <w:r>
        <w:rPr>
          <w:rFonts w:hint="eastAsia" w:ascii="宋体" w:hAnsi="宋体"/>
          <w:bCs/>
          <w:color w:val="auto"/>
          <w:sz w:val="24"/>
          <w:highlight w:val="none"/>
        </w:rPr>
        <w:t>.1</w:t>
      </w:r>
      <w:r>
        <w:rPr>
          <w:rFonts w:hint="eastAsia" w:ascii="宋体" w:hAnsi="宋体"/>
          <w:color w:val="auto"/>
          <w:sz w:val="24"/>
          <w:highlight w:val="none"/>
        </w:rPr>
        <w:t xml:space="preserve"> 投标人应按照招标文件中提供的格式完整、正确填写投标函、开标一览表。</w:t>
      </w:r>
    </w:p>
    <w:p w14:paraId="0D9F48A7">
      <w:pPr>
        <w:spacing w:line="500" w:lineRule="exact"/>
        <w:ind w:firstLine="480"/>
        <w:rPr>
          <w:rFonts w:ascii="宋体" w:hAnsi="宋体"/>
          <w:color w:val="auto"/>
          <w:sz w:val="24"/>
          <w:highlight w:val="none"/>
        </w:rPr>
      </w:pPr>
      <w:r>
        <w:rPr>
          <w:rFonts w:hint="eastAsia" w:ascii="宋体" w:hAnsi="宋体"/>
          <w:bCs/>
          <w:color w:val="auto"/>
          <w:sz w:val="24"/>
          <w:highlight w:val="none"/>
        </w:rPr>
        <w:t>1</w:t>
      </w:r>
      <w:r>
        <w:rPr>
          <w:rFonts w:hint="eastAsia" w:ascii="宋体" w:hAnsi="宋体"/>
          <w:bCs/>
          <w:color w:val="auto"/>
          <w:sz w:val="24"/>
          <w:highlight w:val="none"/>
          <w:lang w:val="en-US" w:eastAsia="zh-CN"/>
        </w:rPr>
        <w:t>5</w:t>
      </w:r>
      <w:r>
        <w:rPr>
          <w:rFonts w:hint="eastAsia" w:ascii="宋体" w:hAnsi="宋体"/>
          <w:bCs/>
          <w:color w:val="auto"/>
          <w:sz w:val="24"/>
          <w:highlight w:val="none"/>
        </w:rPr>
        <w:t>.2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p>
    <w:p w14:paraId="1EEE766F">
      <w:pPr>
        <w:pStyle w:val="47"/>
        <w:spacing w:before="0" w:after="0" w:line="240" w:lineRule="auto"/>
        <w:ind w:firstLine="420"/>
        <w:rPr>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6</w:t>
      </w:r>
      <w:r>
        <w:rPr>
          <w:rFonts w:hint="eastAsia"/>
          <w:b w:val="0"/>
          <w:bCs w:val="0"/>
          <w:color w:val="auto"/>
          <w:highlight w:val="none"/>
        </w:rPr>
        <w:t>、投标有效期</w:t>
      </w:r>
    </w:p>
    <w:p w14:paraId="4BE3F03A">
      <w:pPr>
        <w:spacing w:line="500" w:lineRule="exact"/>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6</w:t>
      </w:r>
      <w:r>
        <w:rPr>
          <w:rFonts w:hint="eastAsia" w:ascii="宋体" w:hAnsi="宋体"/>
          <w:color w:val="auto"/>
          <w:sz w:val="24"/>
          <w:highlight w:val="none"/>
        </w:rPr>
        <w:t>.1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代理机构</w:t>
      </w:r>
      <w:r>
        <w:rPr>
          <w:rFonts w:hint="eastAsia" w:ascii="宋体" w:hAnsi="宋体"/>
          <w:bCs/>
          <w:color w:val="auto"/>
          <w:sz w:val="24"/>
          <w:highlight w:val="none"/>
        </w:rPr>
        <w:t>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0216588">
      <w:pPr>
        <w:pStyle w:val="47"/>
        <w:spacing w:before="0" w:after="0" w:line="240" w:lineRule="auto"/>
        <w:ind w:firstLine="420"/>
        <w:rPr>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7</w:t>
      </w:r>
      <w:r>
        <w:rPr>
          <w:rFonts w:hint="eastAsia"/>
          <w:b w:val="0"/>
          <w:bCs w:val="0"/>
          <w:color w:val="auto"/>
          <w:highlight w:val="none"/>
        </w:rPr>
        <w:t>、投标有效期的延长</w:t>
      </w:r>
    </w:p>
    <w:p w14:paraId="73DE3AE9">
      <w:pPr>
        <w:spacing w:line="500" w:lineRule="exact"/>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bCs/>
          <w:color w:val="auto"/>
          <w:sz w:val="24"/>
          <w:highlight w:val="none"/>
        </w:rPr>
        <w:t xml:space="preserve"> 在特殊情况下，</w:t>
      </w:r>
      <w:r>
        <w:rPr>
          <w:rFonts w:hint="eastAsia" w:ascii="宋体" w:hAnsi="宋体"/>
          <w:bCs/>
          <w:color w:val="auto"/>
          <w:sz w:val="24"/>
          <w:highlight w:val="none"/>
          <w:lang w:eastAsia="zh-CN"/>
        </w:rPr>
        <w:t>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4FBC0C6E">
      <w:pPr>
        <w:pStyle w:val="235"/>
        <w:spacing w:before="145" w:after="145" w:line="360" w:lineRule="auto"/>
        <w:ind w:firstLine="482"/>
        <w:rPr>
          <w:color w:val="auto"/>
          <w:highlight w:val="none"/>
        </w:rPr>
      </w:pPr>
      <w:r>
        <w:rPr>
          <w:rFonts w:hint="eastAsia"/>
          <w:color w:val="auto"/>
          <w:highlight w:val="none"/>
        </w:rPr>
        <w:t>四、投标文件的递交</w:t>
      </w:r>
    </w:p>
    <w:p w14:paraId="28F8277C">
      <w:pPr>
        <w:pStyle w:val="47"/>
        <w:spacing w:before="0" w:after="0" w:line="240" w:lineRule="auto"/>
        <w:ind w:firstLine="560"/>
        <w:rPr>
          <w:rFonts w:ascii="黑体"/>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8</w:t>
      </w:r>
      <w:r>
        <w:rPr>
          <w:rFonts w:hint="eastAsia"/>
          <w:b w:val="0"/>
          <w:bCs w:val="0"/>
          <w:color w:val="auto"/>
          <w:highlight w:val="none"/>
        </w:rPr>
        <w:t>、</w:t>
      </w:r>
      <w:r>
        <w:rPr>
          <w:rFonts w:hint="eastAsia" w:ascii="黑体"/>
          <w:b w:val="0"/>
          <w:bCs w:val="0"/>
          <w:color w:val="auto"/>
          <w:highlight w:val="none"/>
        </w:rPr>
        <w:t>投标文件的递交</w:t>
      </w:r>
    </w:p>
    <w:p w14:paraId="72939FB0">
      <w:pPr>
        <w:spacing w:line="500" w:lineRule="exact"/>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.1</w:t>
      </w:r>
      <w:r>
        <w:rPr>
          <w:rFonts w:hint="eastAsia" w:ascii="宋体" w:hAnsi="宋体"/>
          <w:bCs/>
          <w:color w:val="auto"/>
          <w:sz w:val="24"/>
          <w:highlight w:val="none"/>
        </w:rPr>
        <w:t xml:space="preserve"> 电子投标文件的递交</w:t>
      </w:r>
    </w:p>
    <w:p w14:paraId="7D2A95AA">
      <w:pPr>
        <w:pStyle w:val="301"/>
        <w:ind w:left="525"/>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p>
    <w:p w14:paraId="544E157E">
      <w:pPr>
        <w:pStyle w:val="47"/>
        <w:spacing w:before="0" w:after="0" w:line="240" w:lineRule="auto"/>
        <w:ind w:firstLine="560"/>
        <w:rPr>
          <w:rFonts w:hint="eastAsia" w:ascii="黑体"/>
          <w:b w:val="0"/>
          <w:bCs w:val="0"/>
          <w:color w:val="auto"/>
          <w:highlight w:val="none"/>
        </w:rPr>
      </w:pPr>
      <w:r>
        <w:rPr>
          <w:rFonts w:hint="eastAsia" w:ascii="黑体"/>
          <w:b w:val="0"/>
          <w:bCs w:val="0"/>
          <w:color w:val="auto"/>
          <w:highlight w:val="none"/>
        </w:rPr>
        <w:t>1</w:t>
      </w:r>
      <w:r>
        <w:rPr>
          <w:rFonts w:hint="eastAsia" w:ascii="黑体"/>
          <w:b w:val="0"/>
          <w:bCs w:val="0"/>
          <w:color w:val="auto"/>
          <w:highlight w:val="none"/>
          <w:lang w:val="en-US" w:eastAsia="zh-CN"/>
        </w:rPr>
        <w:t>9</w:t>
      </w:r>
      <w:r>
        <w:rPr>
          <w:rFonts w:hint="eastAsia" w:ascii="黑体"/>
          <w:b w:val="0"/>
          <w:bCs w:val="0"/>
          <w:color w:val="auto"/>
          <w:highlight w:val="none"/>
        </w:rPr>
        <w:t>、投标截止时间</w:t>
      </w:r>
    </w:p>
    <w:p w14:paraId="1DCBD684">
      <w:pPr>
        <w:spacing w:line="500" w:lineRule="exact"/>
        <w:ind w:firstLine="480"/>
        <w:rPr>
          <w:rFonts w:ascii="宋体" w:hAnsi="宋体"/>
          <w:bCs/>
          <w:i/>
          <w:color w:val="auto"/>
          <w:sz w:val="24"/>
          <w:highlight w:val="none"/>
          <w:u w:val="single"/>
        </w:rPr>
      </w:pPr>
      <w:r>
        <w:rPr>
          <w:rFonts w:hint="eastAsia" w:ascii="宋体" w:hAnsi="宋体"/>
          <w:i/>
          <w:color w:val="auto"/>
          <w:sz w:val="24"/>
          <w:highlight w:val="none"/>
          <w:u w:val="single"/>
        </w:rPr>
        <w:t>1</w:t>
      </w:r>
      <w:r>
        <w:rPr>
          <w:rFonts w:hint="eastAsia" w:ascii="宋体" w:hAnsi="宋体"/>
          <w:i/>
          <w:color w:val="auto"/>
          <w:sz w:val="24"/>
          <w:highlight w:val="none"/>
          <w:u w:val="single"/>
          <w:lang w:val="en-US" w:eastAsia="zh-CN"/>
        </w:rPr>
        <w:t>9</w:t>
      </w:r>
      <w:r>
        <w:rPr>
          <w:rFonts w:hint="eastAsia" w:ascii="宋体" w:hAnsi="宋体"/>
          <w:i/>
          <w:color w:val="auto"/>
          <w:sz w:val="24"/>
          <w:highlight w:val="none"/>
          <w:u w:val="single"/>
        </w:rPr>
        <w:t>.1</w:t>
      </w:r>
      <w:r>
        <w:rPr>
          <w:rFonts w:hint="eastAsia" w:ascii="宋体" w:hAnsi="宋体"/>
          <w:bCs/>
          <w:i/>
          <w:color w:val="auto"/>
          <w:sz w:val="24"/>
          <w:highlight w:val="none"/>
          <w:u w:val="single"/>
        </w:rPr>
        <w:t xml:space="preserve"> 投标人上传电子投标文件的时间不得迟于招标公告中规定的投标截止时间。</w:t>
      </w:r>
    </w:p>
    <w:p w14:paraId="0CC4A413">
      <w:pPr>
        <w:spacing w:line="500" w:lineRule="exact"/>
        <w:ind w:firstLine="480"/>
        <w:rPr>
          <w:rFonts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投标人应充分考虑到网络环境、网络带宽等风险因素，如因投标人自身原因造成的电子投标文件上传不成功的按照本招标文件第二章第26.1.2条 规定做无效投标处理。</w:t>
      </w:r>
    </w:p>
    <w:p w14:paraId="71FE0791">
      <w:pPr>
        <w:spacing w:line="500" w:lineRule="exact"/>
        <w:ind w:firstLine="480"/>
        <w:rPr>
          <w:rFonts w:ascii="宋体" w:hAnsi="宋体"/>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9</w:t>
      </w:r>
      <w:r>
        <w:rPr>
          <w:rFonts w:hint="eastAsia" w:ascii="宋体" w:hAnsi="宋体"/>
          <w:color w:val="auto"/>
          <w:sz w:val="24"/>
          <w:highlight w:val="none"/>
        </w:rPr>
        <w:t>.2</w:t>
      </w:r>
      <w:r>
        <w:rPr>
          <w:rFonts w:hint="eastAsia" w:ascii="宋体" w:hAnsi="宋体"/>
          <w:bCs/>
          <w:color w:val="auto"/>
          <w:sz w:val="24"/>
          <w:highlight w:val="none"/>
        </w:rPr>
        <w:t xml:space="preserve"> </w:t>
      </w:r>
      <w:r>
        <w:rPr>
          <w:rFonts w:hint="eastAsia" w:ascii="宋体" w:hAnsi="宋体"/>
          <w:bCs/>
          <w:color w:val="auto"/>
          <w:sz w:val="24"/>
          <w:highlight w:val="none"/>
          <w:lang w:eastAsia="zh-CN"/>
        </w:rPr>
        <w:t>代理机构</w:t>
      </w:r>
      <w:r>
        <w:rPr>
          <w:rFonts w:hint="eastAsia" w:ascii="宋体" w:hAnsi="宋体"/>
          <w:bCs/>
          <w:color w:val="auto"/>
          <w:sz w:val="24"/>
          <w:highlight w:val="none"/>
        </w:rPr>
        <w:t>可以按照规定，通过修改招标文件酌情延长投标截止时间，在此情况下，投标人的所有权利和义务以及投标人受制的截止时间均应以延长后新的截止时间为准。</w:t>
      </w:r>
    </w:p>
    <w:p w14:paraId="1AF271C0">
      <w:pPr>
        <w:pStyle w:val="47"/>
        <w:spacing w:before="0" w:after="0" w:line="240" w:lineRule="auto"/>
        <w:ind w:firstLine="420"/>
        <w:rPr>
          <w:b w:val="0"/>
          <w:bCs w:val="0"/>
          <w:color w:val="auto"/>
          <w:highlight w:val="none"/>
        </w:rPr>
      </w:pPr>
      <w:r>
        <w:rPr>
          <w:rFonts w:hint="eastAsia"/>
          <w:b w:val="0"/>
          <w:bCs w:val="0"/>
          <w:color w:val="auto"/>
          <w:highlight w:val="none"/>
          <w:lang w:val="en-US" w:eastAsia="zh-CN"/>
        </w:rPr>
        <w:t>20</w:t>
      </w:r>
      <w:r>
        <w:rPr>
          <w:rFonts w:hint="eastAsia"/>
          <w:b w:val="0"/>
          <w:bCs w:val="0"/>
          <w:color w:val="auto"/>
          <w:highlight w:val="none"/>
        </w:rPr>
        <w:t>、投标文件的拒收</w:t>
      </w:r>
    </w:p>
    <w:p w14:paraId="0843DDB9">
      <w:pPr>
        <w:spacing w:line="500" w:lineRule="exact"/>
        <w:ind w:firstLine="480"/>
        <w:rPr>
          <w:rFonts w:ascii="宋体" w:hAnsi="宋体"/>
          <w:bCs/>
          <w:color w:val="auto"/>
          <w:sz w:val="24"/>
          <w:highlight w:val="none"/>
        </w:rPr>
      </w:pPr>
      <w:r>
        <w:rPr>
          <w:rFonts w:hint="eastAsia" w:ascii="宋体" w:hAnsi="宋体"/>
          <w:color w:val="auto"/>
          <w:sz w:val="24"/>
          <w:highlight w:val="none"/>
          <w:lang w:val="en-US" w:eastAsia="zh-CN"/>
        </w:rPr>
        <w:t>20</w:t>
      </w:r>
      <w:r>
        <w:rPr>
          <w:rFonts w:hint="eastAsia" w:ascii="宋体" w:hAnsi="宋体"/>
          <w:color w:val="auto"/>
          <w:sz w:val="24"/>
          <w:highlight w:val="none"/>
        </w:rPr>
        <w:t>.1</w:t>
      </w:r>
      <w:r>
        <w:rPr>
          <w:rFonts w:hint="eastAsia" w:ascii="宋体" w:hAnsi="宋体"/>
          <w:bCs/>
          <w:color w:val="auto"/>
          <w:sz w:val="24"/>
          <w:highlight w:val="none"/>
          <w:lang w:eastAsia="zh-CN"/>
        </w:rPr>
        <w:t>代理机构</w:t>
      </w:r>
      <w:r>
        <w:rPr>
          <w:rFonts w:hint="eastAsia" w:ascii="宋体" w:hAnsi="宋体"/>
          <w:bCs/>
          <w:color w:val="auto"/>
          <w:sz w:val="24"/>
          <w:highlight w:val="none"/>
        </w:rPr>
        <w:t>拒绝接收在其规定的投标截止时间后上传的任何投标文件。</w:t>
      </w:r>
    </w:p>
    <w:p w14:paraId="7F865A84">
      <w:pPr>
        <w:pStyle w:val="47"/>
        <w:spacing w:before="0" w:after="0" w:line="240" w:lineRule="auto"/>
        <w:ind w:firstLine="420"/>
        <w:rPr>
          <w:b w:val="0"/>
          <w:bCs w:val="0"/>
          <w:color w:val="auto"/>
          <w:highlight w:val="none"/>
        </w:rPr>
      </w:pPr>
      <w:r>
        <w:rPr>
          <w:rFonts w:hint="eastAsia"/>
          <w:b w:val="0"/>
          <w:bCs w:val="0"/>
          <w:color w:val="auto"/>
          <w:highlight w:val="none"/>
        </w:rPr>
        <w:t>2</w:t>
      </w:r>
      <w:r>
        <w:rPr>
          <w:rFonts w:hint="eastAsia"/>
          <w:b w:val="0"/>
          <w:bCs w:val="0"/>
          <w:color w:val="auto"/>
          <w:highlight w:val="none"/>
          <w:lang w:val="en-US" w:eastAsia="zh-CN"/>
        </w:rPr>
        <w:t>1</w:t>
      </w:r>
      <w:r>
        <w:rPr>
          <w:rFonts w:hint="eastAsia"/>
          <w:b w:val="0"/>
          <w:bCs w:val="0"/>
          <w:color w:val="auto"/>
          <w:highlight w:val="none"/>
        </w:rPr>
        <w:t>、投标文件的撤回和修改</w:t>
      </w:r>
    </w:p>
    <w:p w14:paraId="255D6828">
      <w:pPr>
        <w:spacing w:line="480" w:lineRule="exact"/>
        <w:ind w:firstLine="480"/>
        <w:rPr>
          <w:rFonts w:ascii="宋体" w:hAnsi="宋体"/>
          <w:color w:val="auto"/>
          <w:sz w:val="24"/>
          <w:highlight w:val="none"/>
        </w:rPr>
      </w:pPr>
      <w:r>
        <w:rPr>
          <w:rFonts w:hint="eastAsia" w:ascii="宋体" w:hAnsi="宋体"/>
          <w:color w:val="auto"/>
          <w:sz w:val="24"/>
          <w:highlight w:val="none"/>
          <w:lang w:val="en-US" w:eastAsia="zh-CN"/>
        </w:rPr>
        <w:t>21</w:t>
      </w:r>
      <w:r>
        <w:rPr>
          <w:rFonts w:hint="eastAsia" w:ascii="宋体" w:hAnsi="宋体"/>
          <w:color w:val="auto"/>
          <w:sz w:val="24"/>
          <w:highlight w:val="none"/>
        </w:rPr>
        <w:t>.1 投标文件的撤回</w:t>
      </w:r>
    </w:p>
    <w:p w14:paraId="36A67BA4">
      <w:pPr>
        <w:spacing w:line="480" w:lineRule="exact"/>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.1.1 电子投标文件的撤回</w:t>
      </w:r>
    </w:p>
    <w:p w14:paraId="048F0994">
      <w:pPr>
        <w:spacing w:line="480" w:lineRule="exact"/>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35D88ED1">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185CF54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.2 投标文件的修改</w:t>
      </w:r>
    </w:p>
    <w:p w14:paraId="7994F3A9">
      <w:pPr>
        <w:spacing w:line="480" w:lineRule="exact"/>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投标人可在投标截止时间前，对其电子投标文件进行修改，具体操作方法见《操作手册》。</w:t>
      </w:r>
    </w:p>
    <w:p w14:paraId="694AA56D">
      <w:pPr>
        <w:spacing w:line="500" w:lineRule="exact"/>
        <w:ind w:firstLine="480"/>
        <w:rPr>
          <w:rFonts w:ascii="宋体" w:hAnsi="宋体"/>
          <w:bCs/>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bCs/>
          <w:color w:val="auto"/>
          <w:sz w:val="24"/>
          <w:highlight w:val="none"/>
        </w:rPr>
        <w:t xml:space="preserve"> 在投标截止时间之后，投标人不得对其电子投标文件作任何修改。</w:t>
      </w:r>
    </w:p>
    <w:p w14:paraId="31003E6E">
      <w:pPr>
        <w:spacing w:line="500" w:lineRule="exact"/>
        <w:ind w:firstLine="480"/>
        <w:rPr>
          <w:rFonts w:ascii="宋体" w:hAnsi="宋体"/>
          <w:bCs/>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.3</w:t>
      </w:r>
      <w:r>
        <w:rPr>
          <w:rFonts w:hint="eastAsia" w:ascii="宋体" w:hAnsi="宋体"/>
          <w:bCs/>
          <w:color w:val="auto"/>
          <w:sz w:val="24"/>
          <w:highlight w:val="none"/>
        </w:rPr>
        <w:t xml:space="preserve"> 在投标截止时间至招标文件中规定的投标有效期满之间的这段时间内，投标人不得撤回其投标。</w:t>
      </w:r>
    </w:p>
    <w:p w14:paraId="18AB8B19">
      <w:pPr>
        <w:pStyle w:val="235"/>
        <w:spacing w:before="145" w:after="145" w:line="360" w:lineRule="auto"/>
        <w:ind w:firstLine="482"/>
        <w:rPr>
          <w:color w:val="auto"/>
          <w:highlight w:val="none"/>
        </w:rPr>
      </w:pPr>
      <w:r>
        <w:rPr>
          <w:rFonts w:hint="eastAsia"/>
          <w:color w:val="auto"/>
          <w:highlight w:val="none"/>
        </w:rPr>
        <w:t>五、开标与评标</w:t>
      </w:r>
    </w:p>
    <w:p w14:paraId="3859A9F6">
      <w:pPr>
        <w:pStyle w:val="47"/>
        <w:spacing w:before="0" w:after="0" w:line="240" w:lineRule="auto"/>
        <w:ind w:firstLine="420"/>
        <w:rPr>
          <w:b w:val="0"/>
          <w:bCs w:val="0"/>
          <w:color w:val="auto"/>
          <w:highlight w:val="none"/>
        </w:rPr>
      </w:pPr>
      <w:r>
        <w:rPr>
          <w:rFonts w:hint="eastAsia"/>
          <w:b w:val="0"/>
          <w:bCs w:val="0"/>
          <w:color w:val="auto"/>
          <w:highlight w:val="none"/>
        </w:rPr>
        <w:t>2</w:t>
      </w:r>
      <w:r>
        <w:rPr>
          <w:rFonts w:hint="eastAsia"/>
          <w:b w:val="0"/>
          <w:bCs w:val="0"/>
          <w:color w:val="auto"/>
          <w:highlight w:val="none"/>
          <w:lang w:val="en-US" w:eastAsia="zh-CN"/>
        </w:rPr>
        <w:t>2</w:t>
      </w:r>
      <w:r>
        <w:rPr>
          <w:rFonts w:hint="eastAsia"/>
          <w:b w:val="0"/>
          <w:bCs w:val="0"/>
          <w:color w:val="auto"/>
          <w:highlight w:val="none"/>
        </w:rPr>
        <w:t>、开标</w:t>
      </w:r>
    </w:p>
    <w:p w14:paraId="5512D631">
      <w:pPr>
        <w:ind w:firstLine="360"/>
        <w:rPr>
          <w:color w:val="auto"/>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.1</w:t>
      </w:r>
      <w:r>
        <w:rPr>
          <w:rFonts w:hint="eastAsia" w:ascii="宋体" w:hAnsi="宋体"/>
          <w:bCs/>
          <w:color w:val="auto"/>
          <w:sz w:val="24"/>
          <w:highlight w:val="none"/>
        </w:rPr>
        <w:t xml:space="preserve"> </w:t>
      </w:r>
      <w:r>
        <w:rPr>
          <w:rFonts w:hint="eastAsia" w:ascii="宋体" w:hAnsi="宋体"/>
          <w:bCs/>
          <w:color w:val="auto"/>
          <w:sz w:val="24"/>
          <w:highlight w:val="none"/>
          <w:lang w:eastAsia="zh-CN"/>
        </w:rPr>
        <w:t>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47ECA765">
      <w:pPr>
        <w:spacing w:line="480" w:lineRule="exact"/>
        <w:ind w:firstLine="480"/>
        <w:rPr>
          <w:rFonts w:ascii="宋体" w:hAnsi="宋体"/>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.2</w:t>
      </w:r>
      <w:r>
        <w:rPr>
          <w:rFonts w:hint="eastAsia" w:ascii="宋体" w:hAnsi="宋体"/>
          <w:color w:val="auto"/>
          <w:sz w:val="24"/>
          <w:szCs w:val="24"/>
          <w:highlight w:val="none"/>
        </w:rPr>
        <w:t>开标仪式由</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组织。苏采云系统将自动对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48121ACB">
      <w:pPr>
        <w:spacing w:line="500" w:lineRule="exact"/>
        <w:ind w:firstLine="480"/>
        <w:rPr>
          <w:rFonts w:ascii="宋体" w:hAnsi="宋体"/>
          <w:color w:val="auto"/>
          <w:sz w:val="24"/>
          <w:szCs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2</w:t>
      </w:r>
      <w:r>
        <w:rPr>
          <w:rFonts w:hint="eastAsia" w:ascii="宋体" w:hAnsi="宋体"/>
          <w:bCs/>
          <w:color w:val="auto"/>
          <w:sz w:val="24"/>
          <w:highlight w:val="none"/>
        </w:rPr>
        <w:t>.3投标人在开标过程中涉及到的投标文件解密、开标结果确认等工作，应按照《操作手册》规定执行。</w:t>
      </w:r>
    </w:p>
    <w:p w14:paraId="29BAF44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.4投标人如果对开标过程和开标记录有疑义，应当根据《操作手册》规定提出，如 苏采云系统中《开标记录表》宣布后5分钟内未提出的，视同认可开标结果。</w:t>
      </w:r>
    </w:p>
    <w:p w14:paraId="2E9C2051">
      <w:pPr>
        <w:pStyle w:val="47"/>
        <w:spacing w:before="0" w:after="0" w:line="240" w:lineRule="auto"/>
        <w:ind w:firstLine="420"/>
        <w:rPr>
          <w:b w:val="0"/>
          <w:bCs w:val="0"/>
          <w:color w:val="auto"/>
          <w:highlight w:val="none"/>
        </w:rPr>
      </w:pPr>
      <w:r>
        <w:rPr>
          <w:rFonts w:hint="eastAsia"/>
          <w:b w:val="0"/>
          <w:bCs w:val="0"/>
          <w:color w:val="auto"/>
          <w:highlight w:val="none"/>
        </w:rPr>
        <w:t>2</w:t>
      </w:r>
      <w:r>
        <w:rPr>
          <w:rFonts w:hint="eastAsia"/>
          <w:b w:val="0"/>
          <w:bCs w:val="0"/>
          <w:color w:val="auto"/>
          <w:highlight w:val="none"/>
          <w:lang w:val="en-US" w:eastAsia="zh-CN"/>
        </w:rPr>
        <w:t>3</w:t>
      </w:r>
      <w:r>
        <w:rPr>
          <w:rFonts w:hint="eastAsia"/>
          <w:b w:val="0"/>
          <w:bCs w:val="0"/>
          <w:color w:val="auto"/>
          <w:highlight w:val="none"/>
        </w:rPr>
        <w:t>、评标委员会</w:t>
      </w:r>
    </w:p>
    <w:p w14:paraId="20011AFC">
      <w:pPr>
        <w:spacing w:line="480" w:lineRule="exact"/>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将立即组织评标委员会（以下简称评委会）进行评标。</w:t>
      </w:r>
    </w:p>
    <w:p w14:paraId="09951764">
      <w:pPr>
        <w:spacing w:line="48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.2 评委会由采购人代表和有关技术、经济等方面的专家组成，且人员构成符合政府采购有关规定。</w:t>
      </w:r>
    </w:p>
    <w:p w14:paraId="2AF384FA">
      <w:pPr>
        <w:spacing w:line="48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.3评委会独立工作，负责评审所有投标文件并确定中标侯选人。</w:t>
      </w:r>
    </w:p>
    <w:p w14:paraId="37BFA3DC">
      <w:pPr>
        <w:pStyle w:val="47"/>
        <w:spacing w:before="0" w:after="0" w:line="240" w:lineRule="auto"/>
        <w:ind w:firstLine="420"/>
        <w:rPr>
          <w:rFonts w:ascii="黑体"/>
          <w:b w:val="0"/>
          <w:bCs w:val="0"/>
          <w:color w:val="auto"/>
          <w:highlight w:val="none"/>
        </w:rPr>
      </w:pPr>
      <w:r>
        <w:rPr>
          <w:rFonts w:hint="eastAsia" w:ascii="黑体"/>
          <w:b w:val="0"/>
          <w:bCs w:val="0"/>
          <w:color w:val="auto"/>
          <w:highlight w:val="none"/>
        </w:rPr>
        <w:t>2</w:t>
      </w:r>
      <w:r>
        <w:rPr>
          <w:rFonts w:hint="eastAsia" w:ascii="黑体"/>
          <w:b w:val="0"/>
          <w:bCs w:val="0"/>
          <w:color w:val="auto"/>
          <w:highlight w:val="none"/>
          <w:lang w:val="en-US" w:eastAsia="zh-CN"/>
        </w:rPr>
        <w:t>4</w:t>
      </w:r>
      <w:r>
        <w:rPr>
          <w:rFonts w:hint="eastAsia" w:ascii="黑体"/>
          <w:b w:val="0"/>
          <w:bCs w:val="0"/>
          <w:color w:val="auto"/>
          <w:highlight w:val="none"/>
        </w:rPr>
        <w:t>、评标过程的保密与公正</w:t>
      </w:r>
    </w:p>
    <w:p w14:paraId="36537238">
      <w:pPr>
        <w:spacing w:line="500" w:lineRule="exact"/>
        <w:ind w:firstLine="480"/>
        <w:rPr>
          <w:rFonts w:ascii="宋体" w:hAnsi="宋体"/>
          <w:bCs/>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eastAsia="zh-CN"/>
        </w:rPr>
        <w:t>代理机构</w:t>
      </w:r>
      <w:r>
        <w:rPr>
          <w:rFonts w:hint="eastAsia" w:ascii="宋体" w:hAnsi="宋体"/>
          <w:bCs/>
          <w:color w:val="auto"/>
          <w:sz w:val="24"/>
          <w:highlight w:val="none"/>
        </w:rPr>
        <w:t>均不得向投标人或与评标无关的其他人员透露。</w:t>
      </w:r>
    </w:p>
    <w:p w14:paraId="207D35C9">
      <w:pPr>
        <w:spacing w:line="480" w:lineRule="exact"/>
        <w:ind w:firstLine="480"/>
        <w:rPr>
          <w:rFonts w:ascii="宋体" w:hAnsi="宋体"/>
          <w:color w:val="auto"/>
          <w:sz w:val="24"/>
          <w:szCs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.2</w:t>
      </w:r>
      <w:r>
        <w:rPr>
          <w:rFonts w:hint="eastAsia" w:ascii="宋体" w:hAnsi="宋体"/>
          <w:color w:val="auto"/>
          <w:sz w:val="24"/>
          <w:szCs w:val="24"/>
          <w:highlight w:val="none"/>
        </w:rPr>
        <w:t>在评标过程中，投标人不得以任何行为影响评标过程，否则其投标文件将被作为无效投标文件。</w:t>
      </w:r>
    </w:p>
    <w:p w14:paraId="713A0B1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和评标委员会不向未中标的投标人解释未中标原因，也不公布评标过程中的相关细节。</w:t>
      </w:r>
    </w:p>
    <w:p w14:paraId="49FEC57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.4 采用综合评分法的项目，未中标的投标人可于中标结果公告期限届满之日起通过苏采云系统查看自己的评审得分及排序情况。</w:t>
      </w:r>
    </w:p>
    <w:p w14:paraId="22A7F418">
      <w:pPr>
        <w:pStyle w:val="47"/>
        <w:spacing w:before="0" w:after="0" w:line="240" w:lineRule="auto"/>
        <w:ind w:firstLine="420"/>
        <w:rPr>
          <w:b w:val="0"/>
          <w:bCs w:val="0"/>
          <w:color w:val="auto"/>
          <w:highlight w:val="none"/>
        </w:rPr>
      </w:pPr>
      <w:r>
        <w:rPr>
          <w:rFonts w:hint="eastAsia"/>
          <w:b w:val="0"/>
          <w:bCs w:val="0"/>
          <w:color w:val="auto"/>
          <w:highlight w:val="none"/>
        </w:rPr>
        <w:t>2</w:t>
      </w:r>
      <w:r>
        <w:rPr>
          <w:rFonts w:hint="eastAsia"/>
          <w:b w:val="0"/>
          <w:bCs w:val="0"/>
          <w:color w:val="auto"/>
          <w:highlight w:val="none"/>
          <w:lang w:val="en-US" w:eastAsia="zh-CN"/>
        </w:rPr>
        <w:t>5</w:t>
      </w:r>
      <w:r>
        <w:rPr>
          <w:rFonts w:hint="eastAsia"/>
          <w:b w:val="0"/>
          <w:bCs w:val="0"/>
          <w:color w:val="auto"/>
          <w:highlight w:val="none"/>
        </w:rPr>
        <w:t>、投标文件的澄清</w:t>
      </w:r>
    </w:p>
    <w:p w14:paraId="43D12C0C">
      <w:pPr>
        <w:spacing w:line="48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14:paraId="3DD47C6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23063FC">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266688F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DC0B13C">
      <w:pPr>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    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.3 接到评委会澄清、说明和补正要求的投标人如未按规定做出澄清、说明和补正，其风险由投标人自行承担。</w:t>
      </w:r>
    </w:p>
    <w:p w14:paraId="2DAB9F74">
      <w:pPr>
        <w:pStyle w:val="47"/>
        <w:spacing w:before="0" w:after="0" w:line="240" w:lineRule="auto"/>
        <w:ind w:firstLine="420"/>
        <w:rPr>
          <w:b w:val="0"/>
          <w:bCs w:val="0"/>
          <w:color w:val="auto"/>
          <w:highlight w:val="none"/>
        </w:rPr>
      </w:pPr>
      <w:r>
        <w:rPr>
          <w:rFonts w:hint="eastAsia"/>
          <w:b w:val="0"/>
          <w:bCs w:val="0"/>
          <w:color w:val="auto"/>
          <w:highlight w:val="none"/>
        </w:rPr>
        <w:t>2</w:t>
      </w:r>
      <w:r>
        <w:rPr>
          <w:rFonts w:hint="eastAsia"/>
          <w:b w:val="0"/>
          <w:bCs w:val="0"/>
          <w:color w:val="auto"/>
          <w:highlight w:val="none"/>
          <w:lang w:val="en-US" w:eastAsia="zh-CN"/>
        </w:rPr>
        <w:t>6</w:t>
      </w:r>
      <w:r>
        <w:rPr>
          <w:rFonts w:hint="eastAsia"/>
          <w:b w:val="0"/>
          <w:bCs w:val="0"/>
          <w:color w:val="auto"/>
          <w:highlight w:val="none"/>
        </w:rPr>
        <w:t>、对投标文件的初审</w:t>
      </w:r>
    </w:p>
    <w:p w14:paraId="2E9B008C">
      <w:pPr>
        <w:spacing w:line="460" w:lineRule="exact"/>
        <w:ind w:firstLine="480"/>
        <w:rPr>
          <w:rFonts w:ascii="宋体" w:hAnsi="宋体"/>
          <w:bCs/>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.1</w:t>
      </w:r>
      <w:r>
        <w:rPr>
          <w:rFonts w:hint="eastAsia" w:ascii="宋体" w:hAnsi="宋体"/>
          <w:bCs/>
          <w:color w:val="auto"/>
          <w:sz w:val="24"/>
          <w:highlight w:val="none"/>
        </w:rPr>
        <w:t>投标文件初审分为资格审查和符合性审查。</w:t>
      </w:r>
    </w:p>
    <w:p w14:paraId="1C1EAC36">
      <w:pPr>
        <w:spacing w:line="46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6</w:t>
      </w:r>
      <w:r>
        <w:rPr>
          <w:rFonts w:hint="eastAsia" w:ascii="宋体" w:hAnsi="宋体"/>
          <w:bCs/>
          <w:color w:val="auto"/>
          <w:sz w:val="24"/>
          <w:highlight w:val="none"/>
        </w:rPr>
        <w:t>.1.1 资格审查：依据法律法规和招标文件的规定，由采购人对投标文件中的资格证明文件进行审查。资格审查的结论，采购人以书面形式向评委会进行反馈。</w:t>
      </w:r>
    </w:p>
    <w:p w14:paraId="780E03FA">
      <w:pPr>
        <w:spacing w:line="460" w:lineRule="exact"/>
        <w:ind w:firstLine="480"/>
        <w:rPr>
          <w:rFonts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采购人在进行资格性审查的同时，将在“信用中国”网站（www.creditchina.gov.cn）和</w:t>
      </w:r>
      <w:r>
        <w:rPr>
          <w:rFonts w:hint="eastAsia" w:ascii="宋体" w:hAnsi="宋体"/>
          <w:color w:val="auto"/>
          <w:sz w:val="24"/>
          <w:szCs w:val="24"/>
          <w:highlight w:val="none"/>
        </w:rPr>
        <w:t>“中国政府采购网"(www.ccgp.gov.cn)</w:t>
      </w:r>
      <w:r>
        <w:rPr>
          <w:rFonts w:hint="eastAsia" w:ascii="宋体" w:hAnsi="宋体"/>
          <w:bCs/>
          <w:color w:val="auto"/>
          <w:sz w:val="24"/>
          <w:highlight w:val="none"/>
        </w:rPr>
        <w:t>查询投标人的信用记录，以确定投标人是否具备投标资格,查询结果留存并归档。</w:t>
      </w:r>
    </w:p>
    <w:p w14:paraId="7BF01C44">
      <w:pPr>
        <w:spacing w:line="460" w:lineRule="exact"/>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E02AD61">
      <w:pPr>
        <w:spacing w:line="46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6</w:t>
      </w:r>
      <w:r>
        <w:rPr>
          <w:rFonts w:hint="eastAsia" w:ascii="宋体" w:hAnsi="宋体"/>
          <w:bCs/>
          <w:color w:val="auto"/>
          <w:sz w:val="24"/>
          <w:highlight w:val="none"/>
        </w:rPr>
        <w:t>.1.2 符合性审查：依据招标文件的规定，由评委会从投标文件的有效性、完整性和对招标文件的响应程度进行审查，以确定是否对招标文件的实质性要求作出响应。</w:t>
      </w:r>
    </w:p>
    <w:p w14:paraId="7E1A39E2">
      <w:pPr>
        <w:spacing w:line="46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6</w:t>
      </w:r>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w:t>
      </w:r>
      <w:r>
        <w:rPr>
          <w:rFonts w:hint="eastAsia" w:ascii="宋体" w:hAnsi="宋体"/>
          <w:bCs/>
          <w:color w:val="auto"/>
          <w:sz w:val="24"/>
          <w:highlight w:val="none"/>
          <w:lang w:eastAsia="zh-CN"/>
        </w:rPr>
        <w:t>代理机构</w:t>
      </w:r>
      <w:r>
        <w:rPr>
          <w:rFonts w:hint="eastAsia" w:ascii="宋体" w:hAnsi="宋体"/>
          <w:bCs/>
          <w:color w:val="auto"/>
          <w:sz w:val="24"/>
          <w:highlight w:val="none"/>
        </w:rPr>
        <w:t>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bCs/>
          <w:color w:val="auto"/>
          <w:sz w:val="24"/>
          <w:highlight w:val="none"/>
          <w:lang w:eastAsia="zh-CN"/>
        </w:rPr>
        <w:t>代理机构</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0CAF0702">
      <w:pPr>
        <w:spacing w:line="460" w:lineRule="exact"/>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B77E67">
      <w:pPr>
        <w:spacing w:line="460" w:lineRule="exact"/>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EF60B14">
      <w:pPr>
        <w:spacing w:line="460" w:lineRule="exact"/>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.3如果投标文件实质上没有响应招标文件的要求，评委会将予以拒绝，投标人不得通过修改或撤销不合要求的偏离或保留而使其投标成为实质性响应的投标。</w:t>
      </w:r>
    </w:p>
    <w:p w14:paraId="17EC50E0">
      <w:pPr>
        <w:spacing w:line="460" w:lineRule="exact"/>
        <w:ind w:firstLine="480"/>
        <w:rPr>
          <w:rFonts w:ascii="宋体" w:hAnsi="宋体"/>
          <w:bCs/>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66DB4FA">
      <w:pPr>
        <w:spacing w:line="46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3113D6F5">
      <w:pPr>
        <w:spacing w:line="46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668C2008">
      <w:pPr>
        <w:spacing w:line="46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0F6F2169">
      <w:pPr>
        <w:spacing w:line="460" w:lineRule="exact"/>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436E378D">
      <w:pPr>
        <w:spacing w:line="460" w:lineRule="exact"/>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3FE2484E">
      <w:pPr>
        <w:spacing w:line="460" w:lineRule="exact"/>
        <w:ind w:firstLine="480"/>
        <w:rPr>
          <w:rFonts w:ascii="宋体" w:hAnsi="宋体"/>
          <w:bCs/>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14:paraId="3E32EE21">
      <w:pPr>
        <w:spacing w:line="460" w:lineRule="exact"/>
        <w:ind w:firstLine="42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.6投标人在开、评标全过程中应保持通讯畅通，及时登录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w:t>
      </w:r>
      <w:r>
        <w:rPr>
          <w:rFonts w:hint="eastAsia" w:ascii="宋体" w:hAnsi="宋体"/>
          <w:color w:val="auto"/>
          <w:sz w:val="24"/>
          <w:highlight w:val="none"/>
          <w:lang w:eastAsia="zh-CN"/>
        </w:rPr>
        <w:t>代理机构</w:t>
      </w:r>
      <w:r>
        <w:rPr>
          <w:rFonts w:hint="eastAsia" w:ascii="宋体" w:hAnsi="宋体"/>
          <w:color w:val="auto"/>
          <w:sz w:val="24"/>
          <w:highlight w:val="none"/>
        </w:rPr>
        <w:t>及评标委员会联系。</w:t>
      </w:r>
    </w:p>
    <w:p w14:paraId="1570DA44">
      <w:pPr>
        <w:pStyle w:val="47"/>
        <w:spacing w:before="0" w:after="0" w:line="240" w:lineRule="auto"/>
        <w:ind w:firstLine="420"/>
        <w:rPr>
          <w:b w:val="0"/>
          <w:bCs w:val="0"/>
          <w:color w:val="auto"/>
          <w:highlight w:val="none"/>
        </w:rPr>
      </w:pPr>
      <w:r>
        <w:rPr>
          <w:rFonts w:hint="eastAsia"/>
          <w:b w:val="0"/>
          <w:bCs w:val="0"/>
          <w:color w:val="auto"/>
          <w:highlight w:val="none"/>
        </w:rPr>
        <w:t>2</w:t>
      </w:r>
      <w:r>
        <w:rPr>
          <w:rFonts w:hint="eastAsia"/>
          <w:b w:val="0"/>
          <w:bCs w:val="0"/>
          <w:color w:val="auto"/>
          <w:highlight w:val="none"/>
          <w:lang w:val="en-US" w:eastAsia="zh-CN"/>
        </w:rPr>
        <w:t>7</w:t>
      </w:r>
      <w:r>
        <w:rPr>
          <w:rFonts w:hint="eastAsia"/>
          <w:b w:val="0"/>
          <w:bCs w:val="0"/>
          <w:color w:val="auto"/>
          <w:highlight w:val="none"/>
        </w:rPr>
        <w:t>、无效投标条款和废标条款</w:t>
      </w:r>
    </w:p>
    <w:p w14:paraId="38BF20B5">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.1无效投标条款</w:t>
      </w:r>
    </w:p>
    <w:p w14:paraId="0373C022">
      <w:pPr>
        <w:spacing w:line="440" w:lineRule="exact"/>
        <w:ind w:firstLine="480"/>
        <w:rPr>
          <w:rFonts w:ascii="宋体" w:hAnsi="宋体"/>
          <w:bCs/>
          <w:color w:val="auto"/>
          <w:sz w:val="24"/>
          <w:szCs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14:paraId="1E7AC8F3">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.1.2 投标人未按照招标文件要求上传电子投标文件的。</w:t>
      </w:r>
    </w:p>
    <w:p w14:paraId="2638AF91">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.1.3同一投标人提交两个（含两个）以上不同的投标报价的。</w:t>
      </w:r>
    </w:p>
    <w:p w14:paraId="26B7C74D">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.1.4投标人不具备招标文件中规定资格要求的。</w:t>
      </w:r>
    </w:p>
    <w:p w14:paraId="583EDE93">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.1.5投标人的报价超过了采购预算或最高限价的。</w:t>
      </w:r>
    </w:p>
    <w:p w14:paraId="10DEF0F5">
      <w:pPr>
        <w:spacing w:line="440" w:lineRule="exact"/>
        <w:ind w:firstLine="480"/>
        <w:rPr>
          <w:rFonts w:ascii="宋体" w:hAnsi="宋体"/>
          <w:bCs/>
          <w:i/>
          <w:color w:val="auto"/>
          <w:sz w:val="24"/>
          <w:highlight w:val="none"/>
          <w:u w:val="singl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.1.6未通过符合性审查的。</w:t>
      </w:r>
    </w:p>
    <w:p w14:paraId="190227A8">
      <w:pPr>
        <w:spacing w:line="440" w:lineRule="exact"/>
        <w:ind w:firstLine="360"/>
        <w:rPr>
          <w:rFonts w:ascii="宋体" w:hAnsi="宋体"/>
          <w:bCs/>
          <w:i/>
          <w:color w:val="auto"/>
          <w:sz w:val="24"/>
          <w:highlight w:val="none"/>
          <w:u w:val="single"/>
        </w:rPr>
      </w:pPr>
      <w:r>
        <w:rPr>
          <w:rFonts w:hint="eastAsia" w:ascii="宋体" w:hAnsi="宋体"/>
          <w:bCs/>
          <w:color w:val="auto"/>
          <w:sz w:val="24"/>
          <w:highlight w:val="none"/>
        </w:rPr>
        <w:t xml:space="preserve"> 2</w:t>
      </w:r>
      <w:r>
        <w:rPr>
          <w:rFonts w:hint="eastAsia" w:ascii="宋体" w:hAnsi="宋体"/>
          <w:bCs/>
          <w:color w:val="auto"/>
          <w:sz w:val="24"/>
          <w:highlight w:val="none"/>
          <w:lang w:val="en-US" w:eastAsia="zh-CN"/>
        </w:rPr>
        <w:t>7</w:t>
      </w:r>
      <w:r>
        <w:rPr>
          <w:rFonts w:hint="eastAsia" w:ascii="宋体" w:hAnsi="宋体"/>
          <w:bCs/>
          <w:color w:val="auto"/>
          <w:sz w:val="24"/>
          <w:highlight w:val="none"/>
        </w:rPr>
        <w:t>.1.7不符合招标文件中规定的实质性要求和条件的（</w:t>
      </w:r>
      <w:r>
        <w:rPr>
          <w:rFonts w:hint="eastAsia" w:ascii="宋体" w:hAnsi="宋体"/>
          <w:bCs/>
          <w:i/>
          <w:color w:val="auto"/>
          <w:sz w:val="24"/>
          <w:highlight w:val="none"/>
          <w:u w:val="single"/>
        </w:rPr>
        <w:t>本招标文件中斜体且有下划线部分为实质性要求和条件）。</w:t>
      </w:r>
    </w:p>
    <w:p w14:paraId="12E64070">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.1.8 投标人被 “信用中国”网站（www.creditchina.gov.cn）列入失信被执行人或重大税收违法案件当事人名单或政府采购严重失信行为记录名单，被</w:t>
      </w:r>
      <w:r>
        <w:rPr>
          <w:rFonts w:hint="eastAsia" w:ascii="宋体" w:hAnsi="宋体"/>
          <w:color w:val="auto"/>
          <w:sz w:val="24"/>
          <w:szCs w:val="24"/>
          <w:highlight w:val="none"/>
        </w:rPr>
        <w:t>“中国政府采购网"(www.ccgp.gov.cn)列入政府采购严重失信行为记录名单，</w:t>
      </w:r>
      <w:r>
        <w:rPr>
          <w:rFonts w:hint="eastAsia" w:ascii="宋体" w:hAnsi="宋体"/>
          <w:bCs/>
          <w:color w:val="auto"/>
          <w:sz w:val="24"/>
          <w:highlight w:val="none"/>
        </w:rPr>
        <w:t>或查询“信用中国”网站后发现投标人存在其他不符合《中华人民共和国政府采购法》第二十二条规定条件的信用记录。</w:t>
      </w:r>
    </w:p>
    <w:p w14:paraId="218A6C2F">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.1.9 投标文件含有采购人不能接受的附加条件的。</w:t>
      </w:r>
    </w:p>
    <w:p w14:paraId="5D2887E6">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.1.10评标委员会认为投标人的报价明显低于其他通过符合性审查投标人的报价，有可能影响产品质量或者不能诚信履约的，将通过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14:paraId="39092B45">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.1.11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2A94E3ED">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.1.12其他法律、法规及本招标文件规定的属无效投标的情形。</w:t>
      </w:r>
    </w:p>
    <w:p w14:paraId="22485190">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.2废标条款</w:t>
      </w:r>
    </w:p>
    <w:p w14:paraId="30670FE3">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.2.1符合专业条件的供应商或者对招标文件作实质响应的供应商不足三家的。2</w:t>
      </w:r>
      <w:r>
        <w:rPr>
          <w:rFonts w:hint="eastAsia" w:ascii="宋体" w:hAnsi="宋体"/>
          <w:bCs/>
          <w:color w:val="auto"/>
          <w:sz w:val="24"/>
          <w:highlight w:val="none"/>
          <w:lang w:val="en-US" w:eastAsia="zh-CN"/>
        </w:rPr>
        <w:t>7</w:t>
      </w:r>
      <w:r>
        <w:rPr>
          <w:rFonts w:hint="eastAsia" w:ascii="宋体" w:hAnsi="宋体"/>
          <w:bCs/>
          <w:color w:val="auto"/>
          <w:sz w:val="24"/>
          <w:highlight w:val="none"/>
        </w:rPr>
        <w:t>.2.2出现影响采购公正的违法、违规行为的。</w:t>
      </w:r>
    </w:p>
    <w:p w14:paraId="0A34C437">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.2.3因重大变故，采购任务取消的。</w:t>
      </w:r>
    </w:p>
    <w:p w14:paraId="3073A5F8">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.2.4评标委员会认定招标文件存在歧义、重大缺陷导致评审工作无法进行。</w:t>
      </w:r>
    </w:p>
    <w:p w14:paraId="458DF4C6">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.2.5 因</w:t>
      </w:r>
      <w:r>
        <w:rPr>
          <w:rFonts w:hint="eastAsia" w:ascii="宋体" w:hAnsi="宋体"/>
          <w:color w:val="auto"/>
          <w:sz w:val="24"/>
          <w:szCs w:val="24"/>
          <w:highlight w:val="none"/>
        </w:rPr>
        <w:t>苏采云系统</w:t>
      </w:r>
      <w:r>
        <w:rPr>
          <w:rFonts w:ascii="宋体" w:hAnsi="宋体"/>
          <w:bCs/>
          <w:color w:val="auto"/>
          <w:sz w:val="24"/>
          <w:highlight w:val="none"/>
        </w:rPr>
        <w:t>系统故障原因造成开标不成功</w:t>
      </w:r>
      <w:r>
        <w:rPr>
          <w:rFonts w:hint="eastAsia" w:ascii="宋体" w:hAnsi="宋体"/>
          <w:bCs/>
          <w:color w:val="auto"/>
          <w:sz w:val="24"/>
          <w:highlight w:val="none"/>
        </w:rPr>
        <w:t>的</w:t>
      </w:r>
      <w:r>
        <w:rPr>
          <w:rFonts w:ascii="宋体" w:hAnsi="宋体"/>
          <w:bCs/>
          <w:color w:val="auto"/>
          <w:sz w:val="24"/>
          <w:highlight w:val="none"/>
        </w:rPr>
        <w:t>。</w:t>
      </w:r>
    </w:p>
    <w:p w14:paraId="60CEBA21">
      <w:pPr>
        <w:spacing w:line="440" w:lineRule="exact"/>
        <w:ind w:left="479"/>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.3 投标截止时间结束后参加投标的供应商不足三家的处理：</w:t>
      </w:r>
    </w:p>
    <w:p w14:paraId="654DD0A2">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7</w:t>
      </w:r>
      <w:r>
        <w:rPr>
          <w:rFonts w:hint="eastAsia" w:ascii="宋体" w:hAnsi="宋体"/>
          <w:bCs/>
          <w:color w:val="auto"/>
          <w:sz w:val="24"/>
          <w:highlight w:val="none"/>
        </w:rPr>
        <w:t>.3.1如出现投标截止时间结束后参加投标的供应商或者在评标期间对招标文件做出实质响应的供应商不足三家情况，按政府采购相关规定执行。</w:t>
      </w:r>
    </w:p>
    <w:p w14:paraId="47005060">
      <w:pPr>
        <w:pStyle w:val="235"/>
        <w:spacing w:before="145" w:after="145" w:line="360" w:lineRule="auto"/>
        <w:ind w:firstLine="482"/>
        <w:rPr>
          <w:color w:val="auto"/>
          <w:highlight w:val="none"/>
        </w:rPr>
      </w:pPr>
      <w:r>
        <w:rPr>
          <w:rFonts w:hint="eastAsia"/>
          <w:color w:val="auto"/>
          <w:highlight w:val="none"/>
        </w:rPr>
        <w:t>六、定标</w:t>
      </w:r>
    </w:p>
    <w:p w14:paraId="5E2B6EFC">
      <w:pPr>
        <w:pStyle w:val="47"/>
        <w:spacing w:before="0" w:after="0" w:line="240" w:lineRule="auto"/>
        <w:ind w:firstLine="600"/>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2</w:t>
      </w:r>
      <w:r>
        <w:rPr>
          <w:rFonts w:hint="eastAsia" w:ascii="黑体" w:hAnsi="宋体" w:cs="Times New Roman"/>
          <w:b w:val="0"/>
          <w:color w:val="auto"/>
          <w:sz w:val="30"/>
          <w:szCs w:val="30"/>
          <w:highlight w:val="none"/>
          <w:lang w:val="en-US" w:eastAsia="zh-CN"/>
        </w:rPr>
        <w:t>8</w:t>
      </w:r>
      <w:r>
        <w:rPr>
          <w:rFonts w:hint="eastAsia" w:ascii="黑体" w:hAnsi="宋体" w:cs="Times New Roman"/>
          <w:b w:val="0"/>
          <w:color w:val="auto"/>
          <w:sz w:val="30"/>
          <w:szCs w:val="30"/>
          <w:highlight w:val="none"/>
        </w:rPr>
        <w:t>、确定中标单位</w:t>
      </w:r>
    </w:p>
    <w:p w14:paraId="18429769">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8</w:t>
      </w:r>
      <w:r>
        <w:rPr>
          <w:rFonts w:hint="eastAsia" w:ascii="宋体" w:hAnsi="宋体"/>
          <w:bCs/>
          <w:color w:val="auto"/>
          <w:sz w:val="24"/>
          <w:highlight w:val="none"/>
        </w:rPr>
        <w:t xml:space="preserve">.1中标候选人的选取原则和数量见招标文件第五章规定。 </w:t>
      </w:r>
    </w:p>
    <w:p w14:paraId="11674A7E">
      <w:pPr>
        <w:spacing w:line="440" w:lineRule="exact"/>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8</w:t>
      </w:r>
      <w:r>
        <w:rPr>
          <w:rFonts w:hint="eastAsia" w:ascii="宋体" w:hAnsi="宋体"/>
          <w:bCs/>
          <w:color w:val="auto"/>
          <w:sz w:val="24"/>
          <w:highlight w:val="none"/>
        </w:rPr>
        <w:t>.2 采购人应根据评委会推荐的中标候选人确定中标人。</w:t>
      </w:r>
    </w:p>
    <w:p w14:paraId="6945A0C5">
      <w:pPr>
        <w:spacing w:line="480" w:lineRule="exact"/>
        <w:ind w:firstLine="480"/>
        <w:rPr>
          <w:rFonts w:ascii="宋体" w:hAnsi="宋体"/>
          <w:color w:val="auto"/>
          <w:sz w:val="24"/>
          <w:szCs w:val="24"/>
          <w:highlight w:val="none"/>
        </w:rPr>
      </w:pPr>
      <w:r>
        <w:rPr>
          <w:rFonts w:hint="eastAsia" w:ascii="宋体" w:hAnsi="宋体"/>
          <w:bCs/>
          <w:color w:val="auto"/>
          <w:sz w:val="24"/>
          <w:szCs w:val="24"/>
          <w:highlight w:val="none"/>
        </w:rPr>
        <w:t>2</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 xml:space="preserve">.3 </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将在“江苏政府采购网”、“扬州市政府采购网”发布中标公告，公告期限为1个工作日。</w:t>
      </w:r>
    </w:p>
    <w:p w14:paraId="264A441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.4  若有充分证据证明，中标人出现下列情况之一的，一经查实，将被取消中标资格：</w:t>
      </w:r>
    </w:p>
    <w:p w14:paraId="7953C2DB">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.4.1提供虚假材料谋取中标的。</w:t>
      </w:r>
    </w:p>
    <w:p w14:paraId="59F79670">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.4.2向采购人、</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行贿或者提供其他不正当利益的。</w:t>
      </w:r>
    </w:p>
    <w:p w14:paraId="2B60C86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.4.3属于本文件规定的无效条件，但在评标过程中又未被评委会发现的。</w:t>
      </w:r>
    </w:p>
    <w:p w14:paraId="6646DF43">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.4.4与采购人或者其他供应商恶意串通的。</w:t>
      </w:r>
    </w:p>
    <w:p w14:paraId="332C0E5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.4.5采取不正当手段诋毁、排挤其他供应商的。</w:t>
      </w:r>
    </w:p>
    <w:p w14:paraId="44116A79">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 xml:space="preserve">.5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33F1CFDA">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.5.1不同投标人的投标文件由同一单位或者个人编制。</w:t>
      </w:r>
    </w:p>
    <w:p w14:paraId="46498D9A">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.5.2不同投标人委托同一单位或者个人办理投标事宜。</w:t>
      </w:r>
    </w:p>
    <w:p w14:paraId="6492F6B3">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.5.3 不同投标人的投标文件载明的项目管理成员或者联系人员为同一人。</w:t>
      </w:r>
    </w:p>
    <w:p w14:paraId="46A9BC6F">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.5.4不同投标人的投标文件异常一致或者投标报价呈规律性差异。</w:t>
      </w:r>
    </w:p>
    <w:p w14:paraId="46D0784A">
      <w:pPr>
        <w:pStyle w:val="47"/>
        <w:spacing w:before="0" w:after="0" w:line="240" w:lineRule="auto"/>
        <w:ind w:firstLine="600"/>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2</w:t>
      </w:r>
      <w:r>
        <w:rPr>
          <w:rFonts w:hint="eastAsia" w:ascii="黑体" w:hAnsi="宋体" w:cs="Times New Roman"/>
          <w:b w:val="0"/>
          <w:color w:val="auto"/>
          <w:sz w:val="30"/>
          <w:szCs w:val="30"/>
          <w:highlight w:val="none"/>
          <w:lang w:val="en-US" w:eastAsia="zh-CN"/>
        </w:rPr>
        <w:t>9</w:t>
      </w:r>
      <w:r>
        <w:rPr>
          <w:rFonts w:hint="eastAsia" w:ascii="黑体" w:hAnsi="宋体" w:cs="Times New Roman"/>
          <w:b w:val="0"/>
          <w:color w:val="auto"/>
          <w:sz w:val="30"/>
          <w:szCs w:val="30"/>
          <w:highlight w:val="none"/>
        </w:rPr>
        <w:t>、质疑处理</w:t>
      </w:r>
    </w:p>
    <w:p w14:paraId="29955221">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.1 提出质疑的供应商应当是参与所质疑项目采购活动的供应商。潜在供应商依法获取其可质疑的采购文件的，可以对采购文件提出质疑。</w:t>
      </w:r>
    </w:p>
    <w:p w14:paraId="2E7F0BA8">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或采购人提出质疑。上述应知其权益受到损害之日，是指：</w:t>
      </w:r>
    </w:p>
    <w:p w14:paraId="4F4A61A5">
      <w:pPr>
        <w:spacing w:line="480" w:lineRule="exact"/>
        <w:ind w:firstLine="480"/>
        <w:rPr>
          <w:rFonts w:hAnsi="宋体" w:cs="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.2.1</w:t>
      </w:r>
      <w:r>
        <w:rPr>
          <w:rFonts w:hAnsi="宋体" w:cs="宋体"/>
          <w:color w:val="auto"/>
          <w:sz w:val="24"/>
          <w:szCs w:val="24"/>
          <w:highlight w:val="none"/>
        </w:rPr>
        <w:t>对可以质疑的采购文件提出质疑的，为收到采购文件之日或者采购文件公告期限届满之日；</w:t>
      </w:r>
    </w:p>
    <w:p w14:paraId="6203B6FA">
      <w:pPr>
        <w:spacing w:line="480" w:lineRule="exact"/>
        <w:ind w:firstLine="480"/>
        <w:rPr>
          <w:rFonts w:hAnsi="宋体" w:cs="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.2.2</w:t>
      </w:r>
      <w:r>
        <w:rPr>
          <w:rFonts w:hAnsi="宋体" w:cs="宋体"/>
          <w:color w:val="auto"/>
          <w:sz w:val="24"/>
          <w:szCs w:val="24"/>
          <w:highlight w:val="none"/>
        </w:rPr>
        <w:t>对采购过程提出质疑的，为各采购程序环节结束之日；</w:t>
      </w:r>
    </w:p>
    <w:p w14:paraId="28290621">
      <w:pPr>
        <w:spacing w:line="480" w:lineRule="exact"/>
        <w:ind w:firstLine="480"/>
        <w:rPr>
          <w:rFonts w:hAnsi="宋体" w:cs="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.2.3</w:t>
      </w:r>
      <w:r>
        <w:rPr>
          <w:rFonts w:hAnsi="宋体" w:cs="宋体"/>
          <w:color w:val="auto"/>
          <w:sz w:val="24"/>
          <w:szCs w:val="24"/>
          <w:highlight w:val="none"/>
        </w:rPr>
        <w:t>对中标或者成交结果提出质疑的，为中标或者成交结果公告期限届满之日。</w:t>
      </w:r>
    </w:p>
    <w:p w14:paraId="3EC6CAE7">
      <w:pPr>
        <w:spacing w:line="480" w:lineRule="exact"/>
        <w:ind w:firstLine="480"/>
        <w:rPr>
          <w:rFonts w:hAnsi="宋体" w:cs="宋体"/>
          <w:color w:val="auto"/>
          <w:sz w:val="24"/>
          <w:szCs w:val="24"/>
          <w:highlight w:val="none"/>
        </w:rPr>
      </w:pPr>
      <w:r>
        <w:rPr>
          <w:rFonts w:hint="eastAsia" w:hAnsi="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hAnsi="宋体" w:cs="宋体"/>
          <w:color w:val="auto"/>
          <w:sz w:val="24"/>
          <w:szCs w:val="24"/>
          <w:highlight w:val="none"/>
          <w:lang w:eastAsia="zh-CN"/>
        </w:rPr>
        <w:t>代理机构</w:t>
      </w:r>
      <w:r>
        <w:rPr>
          <w:rFonts w:hint="eastAsia" w:hAnsi="宋体" w:cs="宋体"/>
          <w:color w:val="auto"/>
          <w:sz w:val="24"/>
          <w:szCs w:val="24"/>
          <w:highlight w:val="none"/>
        </w:rPr>
        <w:t>、</w:t>
      </w:r>
      <w:r>
        <w:rPr>
          <w:rFonts w:hAnsi="宋体" w:cs="宋体"/>
          <w:color w:val="auto"/>
          <w:sz w:val="24"/>
          <w:szCs w:val="24"/>
          <w:highlight w:val="none"/>
        </w:rPr>
        <w:t>采购人</w:t>
      </w:r>
      <w:r>
        <w:rPr>
          <w:rFonts w:hint="eastAsia" w:hAnsi="宋体" w:cs="宋体"/>
          <w:color w:val="auto"/>
          <w:sz w:val="24"/>
          <w:szCs w:val="24"/>
          <w:highlight w:val="none"/>
        </w:rPr>
        <w:t>将只对供应商第一次质疑作出答复。</w:t>
      </w:r>
    </w:p>
    <w:p w14:paraId="0ACC1AED">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599D53BC">
      <w:pPr>
        <w:snapToGrid w:val="0"/>
        <w:spacing w:line="480" w:lineRule="exact"/>
        <w:ind w:firstLine="480" w:firstLineChars="200"/>
        <w:rPr>
          <w:rFonts w:hint="eastAsia" w:ascii="宋体" w:hAnsi="宋体"/>
          <w:b/>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.4 供应商（含潜在</w:t>
      </w:r>
      <w:r>
        <w:rPr>
          <w:rFonts w:ascii="宋体" w:hAnsi="宋体"/>
          <w:color w:val="auto"/>
          <w:sz w:val="24"/>
          <w:szCs w:val="24"/>
          <w:highlight w:val="none"/>
        </w:rPr>
        <w:t>供应商</w:t>
      </w:r>
      <w:r>
        <w:rPr>
          <w:rFonts w:hint="eastAsia" w:ascii="宋体" w:hAnsi="宋体"/>
          <w:color w:val="auto"/>
          <w:sz w:val="24"/>
          <w:szCs w:val="24"/>
          <w:highlight w:val="none"/>
        </w:rPr>
        <w:t>）对与</w:t>
      </w:r>
      <w:r>
        <w:rPr>
          <w:rFonts w:ascii="宋体" w:hAnsi="宋体"/>
          <w:color w:val="auto"/>
          <w:sz w:val="24"/>
          <w:szCs w:val="24"/>
          <w:highlight w:val="none"/>
        </w:rPr>
        <w:t>本项目</w:t>
      </w:r>
      <w:r>
        <w:rPr>
          <w:rFonts w:hint="eastAsia" w:ascii="宋体" w:hAnsi="宋体"/>
          <w:color w:val="auto"/>
          <w:sz w:val="24"/>
          <w:szCs w:val="24"/>
          <w:highlight w:val="none"/>
        </w:rPr>
        <w:t>有关的</w:t>
      </w:r>
      <w:r>
        <w:rPr>
          <w:rFonts w:ascii="宋体" w:hAnsi="宋体"/>
          <w:color w:val="auto"/>
          <w:sz w:val="24"/>
          <w:szCs w:val="24"/>
          <w:highlight w:val="none"/>
        </w:rPr>
        <w:t>所有询问、质疑</w:t>
      </w:r>
      <w:r>
        <w:rPr>
          <w:rFonts w:hint="eastAsia" w:ascii="宋体" w:hAnsi="宋体"/>
          <w:color w:val="auto"/>
          <w:sz w:val="24"/>
          <w:szCs w:val="24"/>
          <w:highlight w:val="none"/>
        </w:rPr>
        <w:t>均</w:t>
      </w:r>
      <w:r>
        <w:rPr>
          <w:rFonts w:ascii="宋体" w:hAnsi="宋体"/>
          <w:color w:val="auto"/>
          <w:sz w:val="24"/>
          <w:szCs w:val="24"/>
          <w:highlight w:val="none"/>
        </w:rPr>
        <w:t>请向采购人提出，由采购人负责答复。</w:t>
      </w:r>
    </w:p>
    <w:p w14:paraId="76C04CC5">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采购人及</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只接收以纸质原件形式送达的质疑,建议供应商尽量通过邮寄方式提交质疑（采购人和</w:t>
      </w:r>
      <w:r>
        <w:rPr>
          <w:rFonts w:hint="eastAsia" w:ascii="宋体" w:hAnsi="宋体"/>
          <w:color w:val="auto"/>
          <w:sz w:val="24"/>
          <w:szCs w:val="24"/>
          <w:highlight w:val="none"/>
          <w:lang w:val="en-US" w:eastAsia="zh-CN"/>
        </w:rPr>
        <w:t>代理机构</w:t>
      </w:r>
      <w:r>
        <w:rPr>
          <w:rFonts w:hint="eastAsia" w:ascii="宋体" w:hAnsi="宋体"/>
          <w:color w:val="auto"/>
          <w:sz w:val="24"/>
          <w:szCs w:val="24"/>
          <w:highlight w:val="none"/>
        </w:rPr>
        <w:t>不接受未填写快递运单的快件）。</w:t>
      </w:r>
    </w:p>
    <w:p w14:paraId="2AE90278">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质疑接受人及联系方式详见招标文件第一章。</w:t>
      </w:r>
    </w:p>
    <w:p w14:paraId="26A093AA">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采购人质疑接收人及联系方式见招标文件第一章。</w:t>
      </w:r>
    </w:p>
    <w:p w14:paraId="5B609D8F">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.5 以下情形的质疑不予受理</w:t>
      </w:r>
    </w:p>
    <w:p w14:paraId="231BEA2E">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.5.1 内容不符合《政府采购质疑和投诉办法》第十二条规定的质疑。</w:t>
      </w:r>
    </w:p>
    <w:p w14:paraId="2C94DD9A">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.5.2 超出政府采购法定期限的质疑。</w:t>
      </w:r>
    </w:p>
    <w:p w14:paraId="12BAF3F6">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.5.3 以传真、电子邮件等方式递交的非原件形式的质疑。</w:t>
      </w:r>
    </w:p>
    <w:p w14:paraId="4C01383C">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.5.4 未参加投标活动的供应商或在投标活动中自身权益未受到损害的供应商所提出的质疑。</w:t>
      </w:r>
    </w:p>
    <w:p w14:paraId="68EACE0E">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.5.5供应商组成联合体参加投标，联合体中任何一方或多方未按要求签字、盖章、加盖公章的质疑。</w:t>
      </w:r>
    </w:p>
    <w:p w14:paraId="03747047">
      <w:pPr>
        <w:spacing w:line="480" w:lineRule="exact"/>
        <w:ind w:firstLine="468"/>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.6  供应商提出书面质疑必须有理、有据，不得捏造事实、提供虚假材料进行恶意质疑。否则，一经查实，</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4DE9A590">
      <w:pPr>
        <w:pStyle w:val="47"/>
        <w:spacing w:before="0" w:after="0" w:line="240" w:lineRule="auto"/>
        <w:ind w:firstLine="600"/>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lang w:val="en-US" w:eastAsia="zh-CN"/>
        </w:rPr>
        <w:t>30</w:t>
      </w:r>
      <w:r>
        <w:rPr>
          <w:rFonts w:hint="eastAsia" w:ascii="黑体" w:hAnsi="宋体" w:cs="Times New Roman"/>
          <w:b w:val="0"/>
          <w:color w:val="auto"/>
          <w:sz w:val="30"/>
          <w:szCs w:val="30"/>
          <w:highlight w:val="none"/>
        </w:rPr>
        <w:t>、中标通知书</w:t>
      </w:r>
    </w:p>
    <w:p w14:paraId="646514EC">
      <w:pPr>
        <w:spacing w:line="480" w:lineRule="exact"/>
        <w:ind w:firstLine="600"/>
        <w:rPr>
          <w:rFonts w:ascii="宋体" w:hAnsi="宋体"/>
          <w:color w:val="auto"/>
          <w:sz w:val="24"/>
          <w:szCs w:val="24"/>
          <w:highlight w:val="none"/>
        </w:rPr>
      </w:pP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中标结果确定后，</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AAB6209">
      <w:pPr>
        <w:spacing w:line="480" w:lineRule="exact"/>
        <w:ind w:firstLine="600"/>
        <w:rPr>
          <w:rFonts w:ascii="宋体" w:hAnsi="宋体"/>
          <w:color w:val="auto"/>
          <w:sz w:val="24"/>
          <w:szCs w:val="24"/>
          <w:highlight w:val="none"/>
        </w:rPr>
      </w:pP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1B0DE0C">
      <w:pPr>
        <w:pStyle w:val="235"/>
        <w:spacing w:before="145" w:after="145" w:line="360" w:lineRule="auto"/>
        <w:rPr>
          <w:color w:val="auto"/>
          <w:highlight w:val="none"/>
        </w:rPr>
      </w:pPr>
      <w:r>
        <w:rPr>
          <w:rFonts w:hint="eastAsia"/>
          <w:color w:val="auto"/>
          <w:highlight w:val="none"/>
        </w:rPr>
        <w:t>七、授予合同</w:t>
      </w:r>
    </w:p>
    <w:p w14:paraId="1605B314">
      <w:pPr>
        <w:pStyle w:val="47"/>
        <w:spacing w:before="0" w:after="0" w:line="240" w:lineRule="auto"/>
        <w:ind w:firstLine="600"/>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3</w:t>
      </w:r>
      <w:r>
        <w:rPr>
          <w:rFonts w:hint="eastAsia" w:ascii="黑体" w:hAnsi="宋体" w:cs="Times New Roman"/>
          <w:b w:val="0"/>
          <w:color w:val="auto"/>
          <w:sz w:val="30"/>
          <w:szCs w:val="30"/>
          <w:highlight w:val="none"/>
          <w:lang w:val="en-US" w:eastAsia="zh-CN"/>
        </w:rPr>
        <w:t>1</w:t>
      </w:r>
      <w:r>
        <w:rPr>
          <w:rFonts w:hint="eastAsia" w:ascii="黑体" w:hAnsi="宋体" w:cs="Times New Roman"/>
          <w:b w:val="0"/>
          <w:color w:val="auto"/>
          <w:sz w:val="30"/>
          <w:szCs w:val="30"/>
          <w:highlight w:val="none"/>
        </w:rPr>
        <w:t>. 签订合同</w:t>
      </w:r>
    </w:p>
    <w:p w14:paraId="22D557A7">
      <w:pPr>
        <w:spacing w:line="480" w:lineRule="exact"/>
        <w:ind w:firstLine="600"/>
        <w:rPr>
          <w:rFonts w:ascii="宋体" w:hAnsi="宋体"/>
          <w:color w:val="auto"/>
          <w:sz w:val="24"/>
          <w:szCs w:val="24"/>
          <w:highlight w:val="none"/>
        </w:rPr>
      </w:pPr>
      <w:r>
        <w:rPr>
          <w:rFonts w:hint="eastAsia" w:ascii="宋体" w:hAnsi="宋体"/>
          <w:bCs/>
          <w:color w:val="auto"/>
          <w:sz w:val="24"/>
          <w:szCs w:val="24"/>
          <w:highlight w:val="none"/>
        </w:rPr>
        <w:t>3</w:t>
      </w:r>
      <w:r>
        <w:rPr>
          <w:rFonts w:hint="eastAsia" w:ascii="宋体" w:hAnsi="宋体"/>
          <w:bCs/>
          <w:color w:val="auto"/>
          <w:sz w:val="24"/>
          <w:szCs w:val="24"/>
          <w:highlight w:val="none"/>
          <w:lang w:val="en-US" w:eastAsia="zh-CN"/>
        </w:rPr>
        <w:t>1</w:t>
      </w:r>
      <w:r>
        <w:rPr>
          <w:rFonts w:hint="eastAsia" w:ascii="宋体" w:hAnsi="宋体"/>
          <w:color w:val="auto"/>
          <w:sz w:val="24"/>
          <w:szCs w:val="24"/>
          <w:highlight w:val="none"/>
        </w:rPr>
        <w:t>.l中标人应当在中标通知书发出之日起十五日内，按照招标文件确定的事项与采购人签订政府采购合同。</w:t>
      </w:r>
    </w:p>
    <w:p w14:paraId="1B7A460A">
      <w:pPr>
        <w:spacing w:line="480" w:lineRule="exact"/>
        <w:ind w:firstLine="6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招标文件、中标人的投标文件及招标过程中有关澄清、承诺文件均应作为合同附件。</w:t>
      </w:r>
    </w:p>
    <w:p w14:paraId="5D856CA6">
      <w:pPr>
        <w:spacing w:line="480" w:lineRule="exact"/>
        <w:ind w:firstLine="6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.3 签订合同后，</w:t>
      </w:r>
      <w:r>
        <w:rPr>
          <w:rFonts w:hint="eastAsia" w:ascii="宋体" w:hAnsi="宋体"/>
          <w:i/>
          <w:color w:val="auto"/>
          <w:sz w:val="24"/>
          <w:szCs w:val="24"/>
          <w:highlight w:val="none"/>
          <w:u w:val="single"/>
        </w:rPr>
        <w:t>中标人不得将合同标的进行转包</w:t>
      </w:r>
      <w:r>
        <w:rPr>
          <w:rFonts w:hint="eastAsia" w:ascii="宋体" w:hAnsi="宋体"/>
          <w:color w:val="auto"/>
          <w:sz w:val="24"/>
          <w:szCs w:val="24"/>
          <w:highlight w:val="none"/>
        </w:rPr>
        <w:t>。未经采购人同意，中标人也不得采用分包的形式履行合同，否则采购人有权终止合同。转包或分包造成采购人损失的，中标人应承担相应赔偿责任。</w:t>
      </w:r>
    </w:p>
    <w:p w14:paraId="429FD110">
      <w:pPr>
        <w:pStyle w:val="47"/>
        <w:spacing w:before="0" w:after="0" w:line="240" w:lineRule="auto"/>
        <w:ind w:firstLine="600"/>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3</w:t>
      </w:r>
      <w:r>
        <w:rPr>
          <w:rFonts w:hint="eastAsia" w:ascii="黑体" w:hAnsi="宋体" w:cs="Times New Roman"/>
          <w:b w:val="0"/>
          <w:color w:val="auto"/>
          <w:sz w:val="30"/>
          <w:szCs w:val="30"/>
          <w:highlight w:val="none"/>
          <w:lang w:val="en-US" w:eastAsia="zh-CN"/>
        </w:rPr>
        <w:t>2</w:t>
      </w:r>
      <w:r>
        <w:rPr>
          <w:rFonts w:hint="eastAsia" w:ascii="黑体" w:hAnsi="宋体" w:cs="Times New Roman"/>
          <w:b w:val="0"/>
          <w:color w:val="auto"/>
          <w:sz w:val="30"/>
          <w:szCs w:val="30"/>
          <w:highlight w:val="none"/>
        </w:rPr>
        <w:t>、政府采购履约资金扶持政策</w:t>
      </w:r>
    </w:p>
    <w:p w14:paraId="2A516D7A">
      <w:pPr>
        <w:pStyle w:val="48"/>
        <w:rPr>
          <w:color w:val="auto"/>
          <w:highlight w:val="none"/>
        </w:rPr>
      </w:pPr>
      <w:r>
        <w:rPr>
          <w:rFonts w:hint="eastAsia" w:ascii="宋体" w:hAnsi="宋体"/>
          <w:bCs/>
          <w:color w:val="auto"/>
          <w:sz w:val="24"/>
          <w:highlight w:val="none"/>
        </w:rPr>
        <w:t>中标人可凭政府采购合同办理融资贷款，详情请见江苏政府采购网、扬州市政府采购网“政采贷”专栏。</w:t>
      </w:r>
    </w:p>
    <w:bookmarkEnd w:id="47"/>
    <w:bookmarkEnd w:id="48"/>
    <w:bookmarkEnd w:id="49"/>
    <w:bookmarkEnd w:id="50"/>
    <w:bookmarkEnd w:id="51"/>
    <w:p w14:paraId="03A82FD8">
      <w:pPr>
        <w:rPr>
          <w:rFonts w:hint="eastAsia"/>
          <w:color w:val="auto"/>
          <w:highlight w:val="none"/>
        </w:rPr>
      </w:pPr>
      <w:bookmarkStart w:id="52" w:name="_Hlt16619350"/>
      <w:bookmarkStart w:id="53" w:name="_Toc120614244"/>
      <w:bookmarkStart w:id="54" w:name="_Toc16938590"/>
      <w:bookmarkStart w:id="55" w:name="_Toc20823346"/>
      <w:bookmarkStart w:id="56" w:name="_Toc462564139"/>
      <w:bookmarkStart w:id="57" w:name="_Toc479757211"/>
    </w:p>
    <w:p w14:paraId="6E856B74">
      <w:pPr>
        <w:rPr>
          <w:rFonts w:hint="eastAsia"/>
          <w:color w:val="auto"/>
          <w:highlight w:val="none"/>
        </w:rPr>
      </w:pPr>
    </w:p>
    <w:p w14:paraId="23D727DC">
      <w:pPr>
        <w:pStyle w:val="233"/>
        <w:ind w:firstLine="2640"/>
        <w:jc w:val="both"/>
        <w:rPr>
          <w:rFonts w:hint="eastAsia" w:ascii="黑体" w:eastAsia="黑体"/>
          <w:bCs/>
          <w:color w:val="auto"/>
          <w:sz w:val="44"/>
          <w:highlight w:val="none"/>
        </w:rPr>
      </w:pPr>
      <w:r>
        <w:rPr>
          <w:rFonts w:hint="eastAsia" w:ascii="黑体" w:eastAsia="黑体"/>
          <w:bCs/>
          <w:color w:val="auto"/>
          <w:sz w:val="44"/>
          <w:highlight w:val="none"/>
        </w:rPr>
        <w:t>第三章  合同文本</w:t>
      </w:r>
    </w:p>
    <w:p w14:paraId="671FBE88">
      <w:pPr>
        <w:spacing w:line="500" w:lineRule="exact"/>
        <w:ind w:firstLine="480"/>
        <w:rPr>
          <w:rFonts w:hint="eastAsia" w:ascii="宋体" w:hAnsi="宋体"/>
          <w:bCs/>
          <w:color w:val="auto"/>
          <w:sz w:val="24"/>
          <w:szCs w:val="22"/>
          <w:highlight w:val="none"/>
        </w:rPr>
      </w:pPr>
      <w:r>
        <w:rPr>
          <w:rFonts w:hint="eastAsia" w:ascii="宋体" w:hAnsi="宋体"/>
          <w:bCs/>
          <w:color w:val="auto"/>
          <w:sz w:val="24"/>
          <w:szCs w:val="22"/>
          <w:highlight w:val="none"/>
        </w:rPr>
        <w:t>以下为中标后签定本项目合同的通用条款，中标人不得提出实质性的修改，关于专用条款将由采购人与中标人结合本项目具体情况协商后签订。</w:t>
      </w:r>
    </w:p>
    <w:p w14:paraId="3ADD3171">
      <w:pPr>
        <w:keepNext w:val="0"/>
        <w:keepLines w:val="0"/>
        <w:pageBreakBefore w:val="0"/>
        <w:widowControl w:val="0"/>
        <w:kinsoku/>
        <w:wordWrap/>
        <w:overflowPunct/>
        <w:topLinePunct w:val="0"/>
        <w:autoSpaceDE/>
        <w:autoSpaceDN/>
        <w:bidi w:val="0"/>
        <w:adjustRightInd/>
        <w:snapToGrid/>
        <w:spacing w:line="360" w:lineRule="auto"/>
        <w:ind w:left="0" w:firstLine="602" w:firstLineChars="200"/>
        <w:jc w:val="center"/>
        <w:textAlignment w:val="auto"/>
        <w:outlineLvl w:val="0"/>
        <w:rPr>
          <w:rFonts w:ascii="宋体" w:hAnsi="宋体"/>
          <w:b/>
          <w:bCs/>
          <w:color w:val="auto"/>
          <w:sz w:val="30"/>
          <w:szCs w:val="20"/>
          <w:highlight w:val="none"/>
        </w:rPr>
      </w:pPr>
      <w:bookmarkStart w:id="58" w:name="_Toc32004"/>
      <w:r>
        <w:rPr>
          <w:rFonts w:hint="eastAsia" w:ascii="宋体" w:hAnsi="宋体"/>
          <w:b/>
          <w:color w:val="auto"/>
          <w:sz w:val="30"/>
          <w:highlight w:val="none"/>
        </w:rPr>
        <w:t>江苏省政府采购合同（服务）（合同编号）</w:t>
      </w:r>
    </w:p>
    <w:p w14:paraId="67C719E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cs="宋体"/>
          <w:color w:val="auto"/>
          <w:sz w:val="24"/>
          <w:szCs w:val="24"/>
          <w:highlight w:val="none"/>
          <w:u w:val="single"/>
        </w:rPr>
      </w:pPr>
      <w:r>
        <w:rPr>
          <w:rFonts w:hint="eastAsia" w:ascii="宋体" w:hAnsi="宋体" w:cs="宋体"/>
          <w:color w:val="auto"/>
          <w:sz w:val="24"/>
          <w:szCs w:val="24"/>
          <w:highlight w:val="none"/>
        </w:rPr>
        <w:t>项目名称：</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0A0ECA99">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default" w:hAnsi="宋体" w:eastAsia="宋体" w:cs="宋体"/>
          <w:color w:val="auto"/>
          <w:sz w:val="24"/>
          <w:szCs w:val="24"/>
          <w:highlight w:val="none"/>
          <w:u w:val="single"/>
          <w:lang w:val="en-US" w:eastAsia="zh-CN"/>
        </w:rPr>
      </w:pPr>
      <w:r>
        <w:rPr>
          <w:rFonts w:hint="eastAsia" w:hAnsi="宋体" w:cs="宋体"/>
          <w:color w:val="auto"/>
          <w:sz w:val="24"/>
          <w:szCs w:val="24"/>
          <w:highlight w:val="none"/>
        </w:rPr>
        <w:t>项目编号：</w:t>
      </w:r>
      <w:r>
        <w:rPr>
          <w:rFonts w:hint="eastAsia" w:hAnsi="宋体" w:cs="宋体"/>
          <w:color w:val="auto"/>
          <w:sz w:val="24"/>
          <w:szCs w:val="24"/>
          <w:highlight w:val="none"/>
          <w:u w:val="single"/>
          <w:lang w:val="en-US" w:eastAsia="zh-CN"/>
        </w:rPr>
        <w:t xml:space="preserve">                                </w:t>
      </w:r>
    </w:p>
    <w:p w14:paraId="3E782915">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s="宋体"/>
          <w:color w:val="auto"/>
          <w:sz w:val="24"/>
          <w:szCs w:val="24"/>
          <w:highlight w:val="none"/>
          <w:u w:val="single"/>
        </w:rPr>
      </w:pPr>
      <w:r>
        <w:rPr>
          <w:rFonts w:hint="eastAsia" w:hAnsi="宋体" w:cs="宋体"/>
          <w:color w:val="auto"/>
          <w:sz w:val="24"/>
          <w:szCs w:val="24"/>
          <w:highlight w:val="none"/>
        </w:rPr>
        <w:t xml:space="preserve">甲方：（买方） </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u w:val="single"/>
        </w:rPr>
        <w:t xml:space="preserve"> </w:t>
      </w:r>
    </w:p>
    <w:p w14:paraId="17E441CC">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s="宋体"/>
          <w:color w:val="auto"/>
          <w:sz w:val="24"/>
          <w:szCs w:val="24"/>
          <w:highlight w:val="none"/>
          <w:u w:val="single"/>
        </w:rPr>
      </w:pPr>
      <w:r>
        <w:rPr>
          <w:rFonts w:hint="eastAsia" w:hAnsi="宋体" w:cs="宋体"/>
          <w:color w:val="auto"/>
          <w:sz w:val="24"/>
          <w:szCs w:val="24"/>
          <w:highlight w:val="none"/>
        </w:rPr>
        <w:t>乙方：（卖方）</w:t>
      </w:r>
      <w:r>
        <w:rPr>
          <w:rFonts w:hint="eastAsia" w:hAnsi="宋体" w:cs="宋体"/>
          <w:color w:val="auto"/>
          <w:sz w:val="24"/>
          <w:szCs w:val="24"/>
          <w:highlight w:val="none"/>
          <w:u w:val="single"/>
        </w:rPr>
        <w:t xml:space="preserve">                      </w:t>
      </w:r>
    </w:p>
    <w:p w14:paraId="0A12FF7D">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DEBFBE4">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一、</w:t>
      </w:r>
      <w:r>
        <w:rPr>
          <w:rFonts w:hint="eastAsia" w:hAnsi="宋体"/>
          <w:b/>
          <w:color w:val="auto"/>
          <w:sz w:val="24"/>
          <w:szCs w:val="24"/>
          <w:highlight w:val="none"/>
        </w:rPr>
        <w:t>合同</w:t>
      </w:r>
      <w:r>
        <w:rPr>
          <w:rFonts w:hAnsi="宋体"/>
          <w:b/>
          <w:color w:val="auto"/>
          <w:sz w:val="24"/>
          <w:szCs w:val="24"/>
          <w:highlight w:val="none"/>
        </w:rPr>
        <w:t>内容</w:t>
      </w:r>
    </w:p>
    <w:p w14:paraId="4B0EFED3">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标的</w:t>
      </w:r>
      <w:r>
        <w:rPr>
          <w:rFonts w:hAnsi="宋体"/>
          <w:color w:val="auto"/>
          <w:sz w:val="24"/>
          <w:szCs w:val="24"/>
          <w:highlight w:val="none"/>
        </w:rPr>
        <w:t>名称：</w:t>
      </w:r>
    </w:p>
    <w:p w14:paraId="462B0D5F">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标的质量：</w:t>
      </w:r>
    </w:p>
    <w:p w14:paraId="4D0F0448">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1.3 标的数量（规模）：</w:t>
      </w:r>
    </w:p>
    <w:p w14:paraId="6889195B">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1.4 履行时间（期限）：</w:t>
      </w:r>
    </w:p>
    <w:p w14:paraId="08449926">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int="eastAsia" w:hAnsi="宋体"/>
          <w:color w:val="auto"/>
          <w:sz w:val="24"/>
          <w:szCs w:val="24"/>
          <w:highlight w:val="none"/>
        </w:rPr>
        <w:t>1.5 履行地点：</w:t>
      </w:r>
    </w:p>
    <w:p w14:paraId="1BF8103D">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6履行方式：</w:t>
      </w:r>
    </w:p>
    <w:p w14:paraId="19000848">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二、合同金额</w:t>
      </w:r>
    </w:p>
    <w:p w14:paraId="69A87E6B">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2.1 本合同金额为（大写）：____________________________________</w:t>
      </w:r>
      <w:r>
        <w:rPr>
          <w:rFonts w:hint="eastAsia" w:hAnsi="宋体"/>
          <w:color w:val="auto"/>
          <w:sz w:val="24"/>
          <w:szCs w:val="24"/>
          <w:highlight w:val="none"/>
        </w:rPr>
        <w:t>圆</w:t>
      </w:r>
      <w:r>
        <w:rPr>
          <w:rFonts w:hAnsi="宋体"/>
          <w:color w:val="auto"/>
          <w:sz w:val="24"/>
          <w:szCs w:val="24"/>
          <w:highlight w:val="none"/>
        </w:rPr>
        <w:t>（_______________元）人民币</w:t>
      </w:r>
      <w:r>
        <w:rPr>
          <w:rFonts w:hint="eastAsia" w:hAnsi="宋体"/>
          <w:color w:val="auto"/>
          <w:sz w:val="24"/>
          <w:szCs w:val="24"/>
          <w:highlight w:val="none"/>
        </w:rPr>
        <w:t>或其他币种</w:t>
      </w:r>
      <w:r>
        <w:rPr>
          <w:rFonts w:hAnsi="宋体"/>
          <w:color w:val="auto"/>
          <w:sz w:val="24"/>
          <w:szCs w:val="24"/>
          <w:highlight w:val="none"/>
        </w:rPr>
        <w:t>。</w:t>
      </w:r>
    </w:p>
    <w:p w14:paraId="1E81A546">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三、技术资料</w:t>
      </w:r>
    </w:p>
    <w:p w14:paraId="19206CA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Ansi="宋体"/>
          <w:color w:val="auto"/>
          <w:sz w:val="24"/>
          <w:szCs w:val="24"/>
          <w:highlight w:val="none"/>
        </w:rPr>
        <w:t>3.1乙方应按招标文件规定的时间向甲方提供服务</w:t>
      </w:r>
      <w:r>
        <w:rPr>
          <w:rFonts w:hint="eastAsia" w:hAnsi="宋体"/>
          <w:color w:val="auto"/>
          <w:sz w:val="24"/>
          <w:szCs w:val="24"/>
          <w:highlight w:val="none"/>
        </w:rPr>
        <w:t>（包含与服务相关的货物）</w:t>
      </w:r>
      <w:r>
        <w:rPr>
          <w:rFonts w:hAnsi="宋体"/>
          <w:color w:val="auto"/>
          <w:sz w:val="24"/>
          <w:szCs w:val="24"/>
          <w:highlight w:val="none"/>
        </w:rPr>
        <w:t>的有关技术资料。</w:t>
      </w:r>
    </w:p>
    <w:p w14:paraId="391CE706">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Ansi="宋体"/>
          <w:color w:val="auto"/>
          <w:sz w:val="24"/>
          <w:szCs w:val="24"/>
          <w:highlight w:val="none"/>
        </w:rPr>
      </w:pPr>
      <w:r>
        <w:rPr>
          <w:rFonts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D0F36FE">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hAnsi="宋体"/>
          <w:b/>
          <w:color w:val="auto"/>
          <w:sz w:val="24"/>
          <w:szCs w:val="24"/>
          <w:highlight w:val="none"/>
        </w:rPr>
      </w:pPr>
      <w:r>
        <w:rPr>
          <w:rFonts w:hAnsi="宋体"/>
          <w:b/>
          <w:color w:val="auto"/>
          <w:sz w:val="24"/>
          <w:szCs w:val="24"/>
          <w:highlight w:val="none"/>
        </w:rPr>
        <w:t>四、知识产权</w:t>
      </w:r>
    </w:p>
    <w:p w14:paraId="33032EF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Ansi="宋体"/>
          <w:color w:val="auto"/>
          <w:sz w:val="24"/>
          <w:szCs w:val="24"/>
          <w:highlight w:val="none"/>
        </w:rPr>
        <w:t>4.1乙</w:t>
      </w:r>
      <w:r>
        <w:rPr>
          <w:rFonts w:hint="eastAsia" w:hAnsi="宋体"/>
          <w:color w:val="auto"/>
          <w:sz w:val="24"/>
          <w:szCs w:val="24"/>
          <w:highlight w:val="none"/>
        </w:rPr>
        <w:t>方应保证甲方在使用、接受本合同服务（包含与服务相关的货物）或其任何一部分时不受第三方提出侵犯其专利权、版权、商标权和工业设计权等知识产权的起诉。一旦出现侵权，由乙方负全部责任。</w:t>
      </w:r>
    </w:p>
    <w:p w14:paraId="69B45B24">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hAnsi="宋体"/>
          <w:color w:val="auto"/>
          <w:sz w:val="24"/>
          <w:szCs w:val="24"/>
          <w:highlight w:val="none"/>
          <w:u w:val="single"/>
        </w:rPr>
      </w:pPr>
      <w:r>
        <w:rPr>
          <w:rFonts w:hAnsi="宋体"/>
          <w:b/>
          <w:color w:val="auto"/>
          <w:sz w:val="24"/>
          <w:szCs w:val="24"/>
          <w:highlight w:val="none"/>
        </w:rPr>
        <w:t>五、产权担保</w:t>
      </w:r>
    </w:p>
    <w:p w14:paraId="4D75BBE7">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Ansi="宋体"/>
          <w:color w:val="auto"/>
          <w:sz w:val="24"/>
          <w:szCs w:val="24"/>
          <w:highlight w:val="none"/>
          <w:u w:val="single"/>
        </w:rPr>
      </w:pPr>
      <w:r>
        <w:rPr>
          <w:rFonts w:hAnsi="宋体"/>
          <w:color w:val="auto"/>
          <w:sz w:val="24"/>
          <w:szCs w:val="24"/>
          <w:highlight w:val="none"/>
        </w:rPr>
        <w:t>5.1 乙方保证所交付的</w:t>
      </w:r>
      <w:r>
        <w:rPr>
          <w:rFonts w:hint="eastAsia" w:hAnsi="宋体"/>
          <w:color w:val="auto"/>
          <w:sz w:val="24"/>
          <w:szCs w:val="24"/>
          <w:highlight w:val="none"/>
        </w:rPr>
        <w:t>服务（包含与服务相关的货物）</w:t>
      </w:r>
      <w:r>
        <w:rPr>
          <w:rFonts w:hAnsi="宋体"/>
          <w:color w:val="auto"/>
          <w:sz w:val="24"/>
          <w:szCs w:val="24"/>
          <w:highlight w:val="none"/>
        </w:rPr>
        <w:t>的所有权完全属于乙方且无任何抵押、查封等产权瑕疵。</w:t>
      </w:r>
    </w:p>
    <w:p w14:paraId="7FD56D3D">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hint="eastAsia" w:hAnsi="宋体"/>
          <w:b/>
          <w:color w:val="auto"/>
          <w:sz w:val="24"/>
          <w:szCs w:val="24"/>
          <w:highlight w:val="none"/>
        </w:rPr>
      </w:pPr>
      <w:r>
        <w:rPr>
          <w:rFonts w:hAnsi="宋体"/>
          <w:b/>
          <w:color w:val="auto"/>
          <w:sz w:val="24"/>
          <w:szCs w:val="24"/>
          <w:highlight w:val="none"/>
        </w:rPr>
        <w:t>六、履约保证金</w:t>
      </w:r>
    </w:p>
    <w:p w14:paraId="3D50D713">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Ansi="宋体"/>
          <w:color w:val="auto"/>
          <w:sz w:val="24"/>
          <w:szCs w:val="24"/>
          <w:highlight w:val="none"/>
        </w:rPr>
        <w:t>6.1 乙方交纳人民币</w:t>
      </w:r>
      <w:r>
        <w:rPr>
          <w:rFonts w:hint="eastAsia" w:hAnsi="宋体"/>
          <w:color w:val="auto"/>
          <w:sz w:val="24"/>
          <w:szCs w:val="24"/>
          <w:highlight w:val="none"/>
          <w:u w:val="single"/>
        </w:rPr>
        <w:t xml:space="preserve">  零  </w:t>
      </w:r>
      <w:r>
        <w:rPr>
          <w:rFonts w:hAnsi="宋体"/>
          <w:color w:val="auto"/>
          <w:sz w:val="24"/>
          <w:szCs w:val="24"/>
          <w:highlight w:val="none"/>
        </w:rPr>
        <w:t>元作为本合同的履约保证金。</w:t>
      </w:r>
      <w:r>
        <w:rPr>
          <w:rFonts w:hint="eastAsia" w:hAnsi="宋体"/>
          <w:color w:val="auto"/>
          <w:sz w:val="24"/>
          <w:szCs w:val="24"/>
          <w:highlight w:val="none"/>
        </w:rPr>
        <w:t>（不得超过合同金额的10%）</w:t>
      </w:r>
    </w:p>
    <w:p w14:paraId="318FB986">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int="eastAsia" w:hAnsi="宋体"/>
          <w:color w:val="auto"/>
          <w:sz w:val="24"/>
          <w:szCs w:val="24"/>
          <w:highlight w:val="none"/>
        </w:rPr>
        <w:t>6.2合同履行结束后，甲方应及时退还交纳的履约保证金。</w:t>
      </w:r>
    </w:p>
    <w:p w14:paraId="61713096">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int="eastAsia" w:hAnsi="宋体"/>
          <w:color w:val="auto"/>
          <w:sz w:val="24"/>
          <w:szCs w:val="24"/>
          <w:highlight w:val="none"/>
        </w:rPr>
        <w:t>6.2.1履约保证金退还方式：无</w:t>
      </w:r>
    </w:p>
    <w:p w14:paraId="2F151E9C">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int="eastAsia" w:hAnsi="宋体"/>
          <w:color w:val="auto"/>
          <w:sz w:val="24"/>
          <w:szCs w:val="24"/>
          <w:highlight w:val="none"/>
        </w:rPr>
        <w:t>6.2.2履约保证金退还时间：无</w:t>
      </w:r>
    </w:p>
    <w:p w14:paraId="217A00B1">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int="eastAsia" w:hAnsi="宋体"/>
          <w:color w:val="auto"/>
          <w:sz w:val="24"/>
          <w:szCs w:val="24"/>
          <w:highlight w:val="none"/>
        </w:rPr>
        <w:t>6.2.3履约保证金退还条件：无</w:t>
      </w:r>
    </w:p>
    <w:p w14:paraId="06A3225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int="eastAsia" w:hAnsi="宋体"/>
          <w:color w:val="auto"/>
          <w:sz w:val="24"/>
          <w:szCs w:val="24"/>
          <w:highlight w:val="none"/>
        </w:rPr>
        <w:t>6.2.4履约保证金不予退还的情形：无</w:t>
      </w:r>
    </w:p>
    <w:p w14:paraId="5E376FC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7B7B21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2A0274C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7.2乙方不得将合同标的分包给他人履行。</w:t>
      </w:r>
    </w:p>
    <w:p w14:paraId="24B6E1F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乙方如有转包或未经甲方同意的分包行为，甲方有权解除合同。</w:t>
      </w:r>
    </w:p>
    <w:p w14:paraId="2867A2F3">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outlineLvl w:val="9"/>
        <w:rPr>
          <w:rFonts w:hAnsi="宋体"/>
          <w:b/>
          <w:color w:val="auto"/>
          <w:sz w:val="24"/>
          <w:szCs w:val="24"/>
          <w:highlight w:val="none"/>
        </w:rPr>
      </w:pPr>
      <w:r>
        <w:rPr>
          <w:rFonts w:hint="eastAsia" w:hAnsi="宋体"/>
          <w:b/>
          <w:color w:val="auto"/>
          <w:sz w:val="24"/>
          <w:szCs w:val="24"/>
          <w:highlight w:val="none"/>
        </w:rPr>
        <w:t>八</w:t>
      </w:r>
      <w:r>
        <w:rPr>
          <w:rFonts w:hAnsi="宋体"/>
          <w:b/>
          <w:color w:val="auto"/>
          <w:sz w:val="24"/>
          <w:szCs w:val="24"/>
          <w:highlight w:val="none"/>
        </w:rPr>
        <w:t>、</w:t>
      </w:r>
      <w:r>
        <w:rPr>
          <w:rFonts w:hint="eastAsia" w:hAnsi="宋体"/>
          <w:b/>
          <w:color w:val="auto"/>
          <w:sz w:val="24"/>
          <w:szCs w:val="24"/>
          <w:highlight w:val="none"/>
        </w:rPr>
        <w:t>合同款项</w:t>
      </w:r>
      <w:r>
        <w:rPr>
          <w:rFonts w:hAnsi="宋体"/>
          <w:b/>
          <w:color w:val="auto"/>
          <w:sz w:val="24"/>
          <w:szCs w:val="24"/>
          <w:highlight w:val="none"/>
        </w:rPr>
        <w:t>支付</w:t>
      </w:r>
    </w:p>
    <w:p w14:paraId="7FD3FAFA">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hAnsi="宋体"/>
          <w:color w:val="auto"/>
          <w:sz w:val="24"/>
          <w:szCs w:val="24"/>
          <w:highlight w:val="none"/>
        </w:rPr>
      </w:pPr>
      <w:r>
        <w:rPr>
          <w:rFonts w:hint="eastAsia" w:hAnsi="宋体"/>
          <w:color w:val="auto"/>
          <w:sz w:val="24"/>
          <w:szCs w:val="24"/>
          <w:highlight w:val="none"/>
        </w:rPr>
        <w:t xml:space="preserve">8.1 本合同项下所有款项均以人民币支付。 </w:t>
      </w:r>
    </w:p>
    <w:p w14:paraId="1AE6FD5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cs="Courier New"/>
          <w:color w:val="auto"/>
          <w:sz w:val="24"/>
          <w:szCs w:val="24"/>
          <w:highlight w:val="none"/>
        </w:rPr>
      </w:pPr>
      <w:r>
        <w:rPr>
          <w:rFonts w:hint="eastAsia" w:hAnsi="宋体"/>
          <w:color w:val="auto"/>
          <w:sz w:val="24"/>
          <w:szCs w:val="24"/>
          <w:highlight w:val="none"/>
        </w:rPr>
        <w:t>8.2 甲方付款方式：</w:t>
      </w:r>
      <w:r>
        <w:rPr>
          <w:rFonts w:hint="eastAsia" w:ascii="宋体" w:hAnsi="宋体" w:cs="Courier New"/>
          <w:color w:val="auto"/>
          <w:sz w:val="24"/>
          <w:szCs w:val="24"/>
          <w:highlight w:val="none"/>
        </w:rPr>
        <w:t>合同签定后，乙方向甲方开具发票，甲方自收到发票之日（乙方开票日期）起10个工作日内支付一年合同总价30%的预付款；剩余合同总价的70%，甲乙双方按三个月为一个周期结算服务费用，每周期结束后，甲乙双方按考核结果确定实际支付费用，甲方自收到发票之日（乙方开票日期）起10个工作日内支付。</w:t>
      </w:r>
    </w:p>
    <w:p w14:paraId="61A35121">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eastAsia="仿宋_GB2312"/>
          <w:b/>
          <w:color w:val="auto"/>
          <w:sz w:val="24"/>
          <w:szCs w:val="24"/>
          <w:highlight w:val="none"/>
        </w:rPr>
      </w:pPr>
      <w:r>
        <w:rPr>
          <w:rFonts w:hint="eastAsia" w:hAnsi="宋体"/>
          <w:b/>
          <w:color w:val="auto"/>
          <w:sz w:val="24"/>
          <w:szCs w:val="24"/>
          <w:highlight w:val="none"/>
        </w:rPr>
        <w:t>九、税费</w:t>
      </w:r>
    </w:p>
    <w:p w14:paraId="5EBE13E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2D4A84D2">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项目</w:t>
      </w:r>
      <w:r>
        <w:rPr>
          <w:rFonts w:hAnsi="宋体"/>
          <w:b/>
          <w:color w:val="auto"/>
          <w:sz w:val="24"/>
          <w:szCs w:val="24"/>
          <w:highlight w:val="none"/>
        </w:rPr>
        <w:t>验收</w:t>
      </w:r>
    </w:p>
    <w:p w14:paraId="4BF42450">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10.1 甲方依法组织履约验收工作。</w:t>
      </w:r>
    </w:p>
    <w:p w14:paraId="3B25C43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AE4B0A8">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10.3 对于实际使用人和甲方分离的项目，甲方邀请实际使用人参与验收。</w:t>
      </w:r>
    </w:p>
    <w:p w14:paraId="62BF0E18">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10.4 如有必要，甲方邀请参加本项目的其他供应商或第三方专业机构及专家参与验收，相关意见将作为验收书的参考资料。</w:t>
      </w:r>
    </w:p>
    <w:p w14:paraId="4A9A16AB">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89AE849">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F59241D">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一</w:t>
      </w:r>
      <w:r>
        <w:rPr>
          <w:rFonts w:hAnsi="宋体"/>
          <w:b/>
          <w:color w:val="auto"/>
          <w:sz w:val="24"/>
          <w:szCs w:val="24"/>
          <w:highlight w:val="none"/>
        </w:rPr>
        <w:t>、违约责任</w:t>
      </w:r>
    </w:p>
    <w:p w14:paraId="73137BFC">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.1 甲方无正当理由</w:t>
      </w:r>
      <w:r>
        <w:rPr>
          <w:rFonts w:hint="eastAsia" w:hAnsi="宋体"/>
          <w:color w:val="auto"/>
          <w:sz w:val="24"/>
          <w:szCs w:val="24"/>
          <w:highlight w:val="none"/>
        </w:rPr>
        <w:t>拒绝接受乙方提供服务</w:t>
      </w:r>
      <w:r>
        <w:rPr>
          <w:rFonts w:hAnsi="宋体"/>
          <w:color w:val="auto"/>
          <w:sz w:val="24"/>
          <w:szCs w:val="24"/>
          <w:highlight w:val="none"/>
        </w:rPr>
        <w:t>的，甲方向乙方偿付</w:t>
      </w:r>
      <w:r>
        <w:rPr>
          <w:rFonts w:hint="eastAsia" w:hAnsi="宋体"/>
          <w:color w:val="auto"/>
          <w:sz w:val="24"/>
          <w:szCs w:val="24"/>
          <w:highlight w:val="none"/>
        </w:rPr>
        <w:t>拒绝接受服务合同价款</w:t>
      </w:r>
      <w:r>
        <w:rPr>
          <w:rFonts w:hAnsi="宋体"/>
          <w:color w:val="auto"/>
          <w:sz w:val="24"/>
          <w:szCs w:val="24"/>
          <w:highlight w:val="none"/>
        </w:rPr>
        <w:t>总值</w:t>
      </w:r>
      <w:r>
        <w:rPr>
          <w:rFonts w:hint="eastAsia" w:hAnsi="宋体"/>
          <w:color w:val="auto"/>
          <w:sz w:val="24"/>
          <w:szCs w:val="24"/>
          <w:highlight w:val="none"/>
          <w:u w:val="single"/>
        </w:rPr>
        <w:t xml:space="preserve">    </w:t>
      </w:r>
      <w:r>
        <w:rPr>
          <w:rFonts w:hAnsi="宋体"/>
          <w:color w:val="auto"/>
          <w:sz w:val="24"/>
          <w:szCs w:val="24"/>
          <w:highlight w:val="none"/>
        </w:rPr>
        <w:t>的违约金。</w:t>
      </w:r>
    </w:p>
    <w:p w14:paraId="0DA8345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.2 甲方无故逾期验收和办理</w:t>
      </w:r>
      <w:r>
        <w:rPr>
          <w:rFonts w:hint="eastAsia" w:hAnsi="宋体"/>
          <w:color w:val="auto"/>
          <w:sz w:val="24"/>
          <w:szCs w:val="24"/>
          <w:highlight w:val="none"/>
        </w:rPr>
        <w:t>合同款项</w:t>
      </w:r>
      <w:r>
        <w:rPr>
          <w:rFonts w:hAnsi="宋体"/>
          <w:color w:val="auto"/>
          <w:sz w:val="24"/>
          <w:szCs w:val="24"/>
          <w:highlight w:val="none"/>
        </w:rPr>
        <w:t>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每日向乙方支付违约金。</w:t>
      </w:r>
    </w:p>
    <w:p w14:paraId="606F7771">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.3 乙方逾期</w:t>
      </w:r>
      <w:r>
        <w:rPr>
          <w:rFonts w:hint="eastAsia" w:hAnsi="宋体"/>
          <w:color w:val="auto"/>
          <w:sz w:val="24"/>
          <w:szCs w:val="24"/>
          <w:highlight w:val="none"/>
        </w:rPr>
        <w:t>提供服务</w:t>
      </w:r>
      <w:r>
        <w:rPr>
          <w:rFonts w:hAnsi="宋体"/>
          <w:color w:val="auto"/>
          <w:sz w:val="24"/>
          <w:szCs w:val="24"/>
          <w:highlight w:val="none"/>
        </w:rPr>
        <w:t>的，乙方应按逾期</w:t>
      </w:r>
      <w:r>
        <w:rPr>
          <w:rFonts w:hint="eastAsia" w:hAnsi="宋体"/>
          <w:color w:val="auto"/>
          <w:sz w:val="24"/>
          <w:szCs w:val="24"/>
          <w:highlight w:val="none"/>
        </w:rPr>
        <w:t>提供服务合同</w:t>
      </w:r>
      <w:r>
        <w:rPr>
          <w:rFonts w:hAnsi="宋体"/>
          <w:color w:val="auto"/>
          <w:sz w:val="24"/>
          <w:szCs w:val="24"/>
          <w:highlight w:val="none"/>
        </w:rPr>
        <w:t>总额每日千分之六向甲方支付违约金，由甲方从待付</w:t>
      </w:r>
      <w:r>
        <w:rPr>
          <w:rFonts w:hint="eastAsia" w:hAnsi="宋体"/>
          <w:color w:val="auto"/>
          <w:sz w:val="24"/>
          <w:szCs w:val="24"/>
          <w:highlight w:val="none"/>
        </w:rPr>
        <w:t>合同款项</w:t>
      </w:r>
      <w:r>
        <w:rPr>
          <w:rFonts w:hAnsi="宋体"/>
          <w:color w:val="auto"/>
          <w:sz w:val="24"/>
          <w:szCs w:val="24"/>
          <w:highlight w:val="none"/>
        </w:rPr>
        <w:t>中扣除。逾期超过约定日期10个工作日不能</w:t>
      </w:r>
      <w:r>
        <w:rPr>
          <w:rFonts w:hint="eastAsia" w:hAnsi="宋体"/>
          <w:color w:val="auto"/>
          <w:sz w:val="24"/>
          <w:szCs w:val="24"/>
          <w:highlight w:val="none"/>
        </w:rPr>
        <w:t>提供服务</w:t>
      </w:r>
      <w:r>
        <w:rPr>
          <w:rFonts w:hAnsi="宋体"/>
          <w:color w:val="auto"/>
          <w:sz w:val="24"/>
          <w:szCs w:val="24"/>
          <w:highlight w:val="none"/>
        </w:rPr>
        <w:t>的，甲方可解除本合同。乙方因逾期</w:t>
      </w:r>
      <w:r>
        <w:rPr>
          <w:rFonts w:hint="eastAsia" w:hAnsi="宋体"/>
          <w:color w:val="auto"/>
          <w:sz w:val="24"/>
          <w:szCs w:val="24"/>
          <w:highlight w:val="none"/>
        </w:rPr>
        <w:t>提供服务</w:t>
      </w:r>
      <w:r>
        <w:rPr>
          <w:rFonts w:hAnsi="宋体"/>
          <w:color w:val="auto"/>
          <w:sz w:val="24"/>
          <w:szCs w:val="24"/>
          <w:highlight w:val="none"/>
        </w:rPr>
        <w:t>或因其他违约行为导致甲方解除合同的，乙方应向甲方支付合同</w:t>
      </w:r>
      <w:r>
        <w:rPr>
          <w:rFonts w:hint="eastAsia" w:hAnsi="宋体"/>
          <w:color w:val="auto"/>
          <w:sz w:val="24"/>
          <w:szCs w:val="24"/>
          <w:highlight w:val="none"/>
        </w:rPr>
        <w:t>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p>
    <w:p w14:paraId="5E7FD97B">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.4 乙方</w:t>
      </w:r>
      <w:r>
        <w:rPr>
          <w:rFonts w:hint="eastAsia" w:hAnsi="宋体"/>
          <w:color w:val="auto"/>
          <w:sz w:val="24"/>
          <w:szCs w:val="24"/>
          <w:highlight w:val="none"/>
        </w:rPr>
        <w:t>所提供服务的标准</w:t>
      </w:r>
      <w:r>
        <w:rPr>
          <w:rFonts w:hAnsi="宋体"/>
          <w:color w:val="auto"/>
          <w:sz w:val="24"/>
          <w:szCs w:val="24"/>
          <w:highlight w:val="none"/>
        </w:rPr>
        <w:t>不符合合同规定及招标文件规定标准的，甲方有权</w:t>
      </w:r>
      <w:r>
        <w:rPr>
          <w:rFonts w:hint="eastAsia" w:hAnsi="宋体"/>
          <w:color w:val="auto"/>
          <w:sz w:val="24"/>
          <w:szCs w:val="24"/>
          <w:highlight w:val="none"/>
        </w:rPr>
        <w:t>拒绝接受服务</w:t>
      </w:r>
      <w:r>
        <w:rPr>
          <w:rFonts w:hAnsi="宋体"/>
          <w:color w:val="auto"/>
          <w:sz w:val="24"/>
          <w:szCs w:val="24"/>
          <w:highlight w:val="none"/>
        </w:rPr>
        <w:t>，</w:t>
      </w:r>
      <w:r>
        <w:rPr>
          <w:rFonts w:hint="eastAsia" w:hAnsi="宋体"/>
          <w:color w:val="auto"/>
          <w:sz w:val="24"/>
          <w:szCs w:val="24"/>
          <w:highlight w:val="none"/>
        </w:rPr>
        <w:t>并</w:t>
      </w:r>
      <w:r>
        <w:rPr>
          <w:rFonts w:hAnsi="宋体"/>
          <w:color w:val="auto"/>
          <w:sz w:val="24"/>
          <w:szCs w:val="24"/>
          <w:highlight w:val="none"/>
        </w:rPr>
        <w:t>可单方面解除合同。</w:t>
      </w:r>
    </w:p>
    <w:p w14:paraId="644C82A5">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二</w:t>
      </w:r>
      <w:r>
        <w:rPr>
          <w:rFonts w:hAnsi="宋体"/>
          <w:b/>
          <w:color w:val="auto"/>
          <w:sz w:val="24"/>
          <w:szCs w:val="24"/>
          <w:highlight w:val="none"/>
        </w:rPr>
        <w:t>、不可抗力事件处理</w:t>
      </w:r>
    </w:p>
    <w:p w14:paraId="5EDB9A9C">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期相同。</w:t>
      </w:r>
    </w:p>
    <w:p w14:paraId="29EE2454">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.2 不可抗力事件发生后，应立即通知对方，并寄送有关权威机构出具的证明。</w:t>
      </w:r>
    </w:p>
    <w:p w14:paraId="301BBF97">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.3 不可抗力事件延续120天以上，双方应通过友好协商，确定是否继续履行合同。</w:t>
      </w:r>
    </w:p>
    <w:p w14:paraId="2ECFDE70">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三</w:t>
      </w:r>
      <w:r>
        <w:rPr>
          <w:rFonts w:hAnsi="宋体"/>
          <w:b/>
          <w:color w:val="auto"/>
          <w:sz w:val="24"/>
          <w:szCs w:val="24"/>
          <w:highlight w:val="none"/>
        </w:rPr>
        <w:t>、</w:t>
      </w:r>
      <w:r>
        <w:rPr>
          <w:rFonts w:hint="eastAsia" w:hAnsi="宋体"/>
          <w:b/>
          <w:color w:val="auto"/>
          <w:sz w:val="24"/>
          <w:szCs w:val="24"/>
          <w:highlight w:val="none"/>
        </w:rPr>
        <w:t>解决争议的方法</w:t>
      </w:r>
    </w:p>
    <w:p w14:paraId="2FDCEA81">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rPr>
        <w:t>13.1双方在签订、履行合同中所发生的一切争议，应通过友好协商解决。如协商不成，由甲方住所地人民法院管辖。</w:t>
      </w:r>
    </w:p>
    <w:p w14:paraId="00DF031C">
      <w:pPr>
        <w:pStyle w:val="23"/>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四</w:t>
      </w:r>
      <w:r>
        <w:rPr>
          <w:rFonts w:hAnsi="宋体"/>
          <w:b/>
          <w:color w:val="auto"/>
          <w:sz w:val="24"/>
          <w:szCs w:val="24"/>
          <w:highlight w:val="none"/>
        </w:rPr>
        <w:t>、合同生效及其它</w:t>
      </w:r>
    </w:p>
    <w:p w14:paraId="647C154B">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.1 合同经双方法定代表人或授权委托代</w:t>
      </w:r>
      <w:r>
        <w:rPr>
          <w:rFonts w:hint="eastAsia" w:hAnsi="宋体"/>
          <w:color w:val="auto"/>
          <w:sz w:val="24"/>
          <w:szCs w:val="24"/>
          <w:highlight w:val="none"/>
        </w:rPr>
        <w:t>表</w:t>
      </w:r>
      <w:r>
        <w:rPr>
          <w:rFonts w:hAnsi="宋体"/>
          <w:color w:val="auto"/>
          <w:sz w:val="24"/>
          <w:szCs w:val="24"/>
          <w:highlight w:val="none"/>
        </w:rPr>
        <w:t>人签字并加盖单位公章后生效。</w:t>
      </w:r>
    </w:p>
    <w:p w14:paraId="13352720">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.2本合同未尽事宜，遵照</w:t>
      </w:r>
      <w:r>
        <w:rPr>
          <w:rFonts w:hint="eastAsia" w:hAnsi="宋体"/>
          <w:color w:val="auto"/>
          <w:sz w:val="24"/>
          <w:szCs w:val="24"/>
          <w:highlight w:val="none"/>
        </w:rPr>
        <w:t>《民法典》、《政府采购法》</w:t>
      </w:r>
      <w:r>
        <w:rPr>
          <w:rFonts w:hAnsi="宋体"/>
          <w:color w:val="auto"/>
          <w:sz w:val="24"/>
          <w:szCs w:val="24"/>
          <w:highlight w:val="none"/>
        </w:rPr>
        <w:t>有关条文执行。</w:t>
      </w:r>
    </w:p>
    <w:p w14:paraId="5048352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w:t>
      </w:r>
      <w:r>
        <w:rPr>
          <w:rFonts w:hint="eastAsia" w:hAnsi="宋体"/>
          <w:color w:val="auto"/>
          <w:sz w:val="24"/>
          <w:szCs w:val="24"/>
          <w:highlight w:val="none"/>
        </w:rPr>
        <w:t>3</w:t>
      </w:r>
      <w:r>
        <w:rPr>
          <w:rFonts w:hAnsi="宋体"/>
          <w:color w:val="auto"/>
          <w:sz w:val="24"/>
          <w:szCs w:val="24"/>
          <w:highlight w:val="none"/>
        </w:rPr>
        <w:t xml:space="preserve"> 本合同正本一式</w:t>
      </w:r>
      <w:r>
        <w:rPr>
          <w:rFonts w:hint="eastAsia" w:hAnsi="宋体"/>
          <w:color w:val="auto"/>
          <w:sz w:val="24"/>
          <w:szCs w:val="24"/>
          <w:highlight w:val="none"/>
        </w:rPr>
        <w:t>两</w:t>
      </w:r>
      <w:r>
        <w:rPr>
          <w:rFonts w:hAnsi="宋体"/>
          <w:color w:val="auto"/>
          <w:sz w:val="24"/>
          <w:szCs w:val="24"/>
          <w:highlight w:val="none"/>
        </w:rPr>
        <w:t>份，具有同等法律效力，甲</w:t>
      </w:r>
      <w:r>
        <w:rPr>
          <w:rFonts w:hint="eastAsia" w:hAnsi="宋体"/>
          <w:color w:val="auto"/>
          <w:sz w:val="24"/>
          <w:szCs w:val="24"/>
          <w:highlight w:val="none"/>
        </w:rPr>
        <w:t>方、</w:t>
      </w:r>
      <w:r>
        <w:rPr>
          <w:rFonts w:hAnsi="宋体"/>
          <w:color w:val="auto"/>
          <w:sz w:val="24"/>
          <w:szCs w:val="24"/>
          <w:highlight w:val="none"/>
        </w:rPr>
        <w:t>乙方各执一份。</w:t>
      </w:r>
    </w:p>
    <w:p w14:paraId="1EEDAB8E">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 xml:space="preserve">  甲方：                        乙方： </w:t>
      </w:r>
    </w:p>
    <w:p w14:paraId="47814B51">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p>
    <w:p w14:paraId="6E000BF2">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或授权代表</w:t>
      </w:r>
      <w:r>
        <w:rPr>
          <w:rFonts w:hAnsi="宋体"/>
          <w:color w:val="auto"/>
          <w:sz w:val="24"/>
          <w:szCs w:val="24"/>
          <w:highlight w:val="none"/>
        </w:rPr>
        <w:t>：        法定代表人</w:t>
      </w:r>
      <w:r>
        <w:rPr>
          <w:rFonts w:hint="eastAsia" w:hAnsi="宋体"/>
          <w:color w:val="auto"/>
          <w:sz w:val="24"/>
          <w:szCs w:val="24"/>
          <w:highlight w:val="none"/>
        </w:rPr>
        <w:t>或授权代表</w:t>
      </w:r>
      <w:r>
        <w:rPr>
          <w:rFonts w:hAnsi="宋体"/>
          <w:color w:val="auto"/>
          <w:sz w:val="24"/>
          <w:szCs w:val="24"/>
          <w:highlight w:val="none"/>
        </w:rPr>
        <w:t>：</w:t>
      </w:r>
    </w:p>
    <w:p w14:paraId="23A7223D">
      <w:pPr>
        <w:pStyle w:val="23"/>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color w:val="auto"/>
          <w:highlight w:val="none"/>
        </w:rPr>
      </w:pPr>
      <w:r>
        <w:rPr>
          <w:rFonts w:hint="eastAsia" w:hAnsi="宋体"/>
          <w:color w:val="auto"/>
          <w:sz w:val="24"/>
          <w:szCs w:val="24"/>
          <w:highlight w:val="none"/>
        </w:rPr>
        <w:t xml:space="preserve">联系电话：                    联系电话：          </w:t>
      </w:r>
    </w:p>
    <w:p w14:paraId="38C8A4E5">
      <w:pPr>
        <w:rPr>
          <w:rFonts w:hint="eastAsia" w:hAnsi="宋体" w:cs="Courier New"/>
          <w:color w:val="auto"/>
          <w:sz w:val="24"/>
          <w:szCs w:val="24"/>
          <w:highlight w:val="none"/>
        </w:rPr>
      </w:pPr>
      <w:r>
        <w:rPr>
          <w:rFonts w:hint="eastAsia"/>
          <w:color w:val="auto"/>
          <w:highlight w:val="none"/>
        </w:rPr>
        <w:t xml:space="preserve">                                        </w:t>
      </w:r>
      <w:r>
        <w:rPr>
          <w:rFonts w:hint="eastAsia" w:hAnsi="宋体" w:cs="Courier New"/>
          <w:color w:val="auto"/>
          <w:sz w:val="24"/>
          <w:szCs w:val="24"/>
          <w:highlight w:val="none"/>
        </w:rPr>
        <w:t xml:space="preserve">  签订日期：      年    月   日</w:t>
      </w:r>
    </w:p>
    <w:p w14:paraId="32C4E7E9">
      <w:pPr>
        <w:rPr>
          <w:rFonts w:ascii="仿宋" w:hAnsi="仿宋" w:eastAsia="仿宋" w:cs="仿宋"/>
          <w:b/>
          <w:bCs/>
          <w:i/>
          <w:iCs/>
          <w:color w:val="auto"/>
          <w:sz w:val="28"/>
          <w:szCs w:val="28"/>
          <w:highlight w:val="none"/>
        </w:rPr>
      </w:pPr>
      <w:r>
        <w:rPr>
          <w:rFonts w:hint="eastAsia" w:ascii="仿宋" w:hAnsi="仿宋" w:eastAsia="仿宋" w:cs="仿宋"/>
          <w:b/>
          <w:bCs/>
          <w:i/>
          <w:iCs/>
          <w:color w:val="auto"/>
          <w:sz w:val="28"/>
          <w:szCs w:val="28"/>
          <w:highlight w:val="none"/>
        </w:rPr>
        <w:t>注：格式仅作参考</w:t>
      </w:r>
    </w:p>
    <w:bookmarkEnd w:id="58"/>
    <w:p w14:paraId="1E7F564C">
      <w:pPr>
        <w:rPr>
          <w:rFonts w:hint="eastAsia" w:ascii="黑体" w:eastAsia="黑体"/>
          <w:bCs/>
          <w:color w:val="auto"/>
          <w:sz w:val="44"/>
          <w:highlight w:val="none"/>
        </w:rPr>
      </w:pPr>
      <w:r>
        <w:rPr>
          <w:rFonts w:hint="eastAsia" w:ascii="黑体" w:eastAsia="黑体"/>
          <w:bCs/>
          <w:color w:val="auto"/>
          <w:sz w:val="44"/>
          <w:highlight w:val="none"/>
        </w:rPr>
        <w:br w:type="page"/>
      </w:r>
    </w:p>
    <w:p w14:paraId="01F309D2">
      <w:pPr>
        <w:pStyle w:val="283"/>
        <w:spacing w:before="120" w:after="120" w:line="0" w:lineRule="atLeast"/>
        <w:jc w:val="center"/>
        <w:rPr>
          <w:rFonts w:hAnsi="宋体"/>
          <w:color w:val="auto"/>
          <w:sz w:val="24"/>
          <w:szCs w:val="24"/>
          <w:highlight w:val="none"/>
        </w:rPr>
      </w:pPr>
      <w:r>
        <w:rPr>
          <w:rFonts w:hint="eastAsia" w:ascii="黑体" w:eastAsia="黑体"/>
          <w:bCs/>
          <w:color w:val="auto"/>
          <w:sz w:val="44"/>
          <w:highlight w:val="none"/>
        </w:rPr>
        <w:t>第</w:t>
      </w:r>
      <w:bookmarkEnd w:id="52"/>
      <w:r>
        <w:rPr>
          <w:rFonts w:hint="eastAsia" w:ascii="黑体" w:eastAsia="黑体"/>
          <w:bCs/>
          <w:color w:val="auto"/>
          <w:sz w:val="44"/>
          <w:highlight w:val="none"/>
        </w:rPr>
        <w:t>四章 采购需求</w:t>
      </w:r>
      <w:bookmarkEnd w:id="53"/>
      <w:bookmarkEnd w:id="54"/>
      <w:bookmarkEnd w:id="55"/>
    </w:p>
    <w:p w14:paraId="416FF33F">
      <w:pPr>
        <w:spacing w:line="360" w:lineRule="auto"/>
        <w:ind w:firstLine="422"/>
        <w:rPr>
          <w:rFonts w:ascii="宋体" w:hAnsi="宋体" w:cs="宋体"/>
          <w:b/>
          <w:bCs/>
          <w:color w:val="auto"/>
          <w:highlight w:val="none"/>
        </w:rPr>
      </w:pPr>
      <w:bookmarkStart w:id="59" w:name="_Toc136347705"/>
      <w:bookmarkStart w:id="60" w:name="_Toc47940211"/>
      <w:bookmarkStart w:id="61" w:name="_Toc26554093"/>
      <w:bookmarkStart w:id="62" w:name="_Toc49090575"/>
      <w:r>
        <w:rPr>
          <w:rFonts w:hint="eastAsia" w:ascii="宋体" w:hAnsi="宋体" w:cs="宋体"/>
          <w:b/>
          <w:bCs/>
          <w:i/>
          <w:color w:val="auto"/>
          <w:highlight w:val="none"/>
          <w:u w:val="single"/>
        </w:rPr>
        <w:t>注：本章内容里斜体且有下划线部分为实质性要求和条件，投标文件不满足的，视为无效投标处理。</w:t>
      </w:r>
      <w:r>
        <w:rPr>
          <w:rFonts w:hint="eastAsia" w:ascii="宋体" w:hAnsi="宋体" w:cs="宋体"/>
          <w:b/>
          <w:bCs/>
          <w:color w:val="auto"/>
          <w:highlight w:val="none"/>
        </w:rPr>
        <w:t>请各供应商制作电子投标文件时，将实质性响应的内容在政府采购交易系统（苏采云）“符合证明文件格式”中准确填写或上传。</w:t>
      </w:r>
    </w:p>
    <w:p w14:paraId="76ABEDF1">
      <w:pPr>
        <w:spacing w:line="360" w:lineRule="auto"/>
        <w:rPr>
          <w:rFonts w:hint="eastAsia" w:ascii="宋体" w:hAnsi="宋体"/>
          <w:color w:val="auto"/>
          <w:sz w:val="24"/>
          <w:szCs w:val="24"/>
          <w:highlight w:val="none"/>
        </w:rPr>
      </w:pPr>
    </w:p>
    <w:p w14:paraId="2DB5FE3A">
      <w:pPr>
        <w:spacing w:line="360" w:lineRule="auto"/>
        <w:rPr>
          <w:rFonts w:ascii="宋体" w:hAnsi="宋体"/>
          <w:bCs/>
          <w:color w:val="auto"/>
          <w:sz w:val="24"/>
          <w:szCs w:val="24"/>
          <w:highlight w:val="none"/>
        </w:rPr>
      </w:pPr>
      <w:r>
        <w:rPr>
          <w:rFonts w:hint="eastAsia" w:ascii="宋体" w:hAnsi="宋体"/>
          <w:color w:val="auto"/>
          <w:sz w:val="24"/>
          <w:szCs w:val="24"/>
          <w:highlight w:val="none"/>
        </w:rPr>
        <w:t>项目属性:</w:t>
      </w:r>
      <w:r>
        <w:rPr>
          <w:rFonts w:hint="eastAsia" w:ascii="宋体" w:hAnsi="宋体"/>
          <w:color w:val="auto"/>
          <w:sz w:val="24"/>
          <w:szCs w:val="24"/>
          <w:highlight w:val="none"/>
          <w:lang w:val="en-US" w:eastAsia="zh-CN"/>
        </w:rPr>
        <w:t>服务</w:t>
      </w:r>
      <w:r>
        <w:rPr>
          <w:rFonts w:hint="eastAsia" w:ascii="宋体" w:hAnsi="宋体"/>
          <w:color w:val="auto"/>
          <w:sz w:val="24"/>
          <w:szCs w:val="24"/>
          <w:highlight w:val="none"/>
        </w:rPr>
        <w:t>类项目。</w:t>
      </w:r>
    </w:p>
    <w:p w14:paraId="3D673FF7">
      <w:pPr>
        <w:spacing w:line="360" w:lineRule="auto"/>
        <w:ind w:firstLine="480"/>
        <w:rPr>
          <w:bCs/>
          <w:iCs/>
          <w:color w:val="auto"/>
          <w:sz w:val="24"/>
          <w:szCs w:val="24"/>
          <w:highlight w:val="none"/>
        </w:rPr>
      </w:pPr>
      <w:r>
        <w:rPr>
          <w:rFonts w:hint="eastAsia"/>
          <w:bCs/>
          <w:iCs/>
          <w:color w:val="auto"/>
          <w:sz w:val="24"/>
          <w:szCs w:val="24"/>
          <w:highlight w:val="none"/>
        </w:rPr>
        <w:t>其他要求</w:t>
      </w:r>
    </w:p>
    <w:p w14:paraId="57455870">
      <w:pPr>
        <w:spacing w:line="360" w:lineRule="auto"/>
        <w:ind w:firstLine="480"/>
        <w:rPr>
          <w:rFonts w:hint="eastAsia" w:eastAsia="宋体"/>
          <w:bCs/>
          <w:iCs/>
          <w:color w:val="auto"/>
          <w:sz w:val="24"/>
          <w:szCs w:val="24"/>
          <w:highlight w:val="none"/>
          <w:lang w:eastAsia="zh-CN"/>
        </w:rPr>
      </w:pPr>
      <w:r>
        <w:rPr>
          <w:rFonts w:hint="eastAsia"/>
          <w:bCs/>
          <w:iCs/>
          <w:color w:val="auto"/>
          <w:sz w:val="24"/>
          <w:szCs w:val="24"/>
          <w:highlight w:val="none"/>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b/>
          <w:bCs/>
          <w:i/>
          <w:iCs w:val="0"/>
          <w:color w:val="auto"/>
          <w:sz w:val="21"/>
          <w:szCs w:val="21"/>
          <w:highlight w:val="none"/>
          <w:u w:val="single"/>
        </w:rPr>
        <w:t>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color w:val="auto"/>
          <w:sz w:val="24"/>
          <w:szCs w:val="24"/>
          <w:highlight w:val="none"/>
        </w:rPr>
        <w:t>其他条件相同情况下，应当优先采购节能产品、环境标志产品。</w:t>
      </w:r>
    </w:p>
    <w:p w14:paraId="3F0F2D99">
      <w:pPr>
        <w:spacing w:line="360" w:lineRule="auto"/>
        <w:ind w:firstLine="480"/>
        <w:rPr>
          <w:rFonts w:hint="eastAsia" w:eastAsia="宋体"/>
          <w:bCs/>
          <w:iCs/>
          <w:color w:val="auto"/>
          <w:sz w:val="24"/>
          <w:szCs w:val="24"/>
          <w:highlight w:val="none"/>
        </w:rPr>
      </w:pPr>
      <w:r>
        <w:rPr>
          <w:rFonts w:hint="eastAsia"/>
          <w:bCs/>
          <w:iCs/>
          <w:color w:val="auto"/>
          <w:sz w:val="24"/>
          <w:szCs w:val="24"/>
          <w:highlight w:val="none"/>
        </w:rPr>
        <w:t>供应商对于投标产品的包装应按照“财办库〔2020〕123号《关于印发《商品包装政府采购需求标准（试行）》、《快递包装政府采购需求标准（试行）》的通知》”执</w:t>
      </w:r>
      <w:r>
        <w:rPr>
          <w:rFonts w:hint="eastAsia" w:eastAsia="宋体"/>
          <w:bCs/>
          <w:iCs/>
          <w:color w:val="auto"/>
          <w:sz w:val="24"/>
          <w:szCs w:val="24"/>
          <w:highlight w:val="none"/>
        </w:rPr>
        <w:t>行。</w:t>
      </w:r>
    </w:p>
    <w:bookmarkEnd w:id="59"/>
    <w:bookmarkEnd w:id="60"/>
    <w:p w14:paraId="66299247">
      <w:pPr>
        <w:spacing w:line="360" w:lineRule="auto"/>
        <w:ind w:firstLine="480"/>
        <w:rPr>
          <w:rFonts w:hint="eastAsia" w:eastAsia="宋体"/>
          <w:bCs/>
          <w:iCs/>
          <w:color w:val="auto"/>
          <w:sz w:val="24"/>
          <w:szCs w:val="24"/>
          <w:highlight w:val="none"/>
          <w:lang w:val="zh-CN"/>
        </w:rPr>
      </w:pPr>
      <w:r>
        <w:rPr>
          <w:rFonts w:hint="eastAsia" w:eastAsia="宋体"/>
          <w:bCs/>
          <w:iCs/>
          <w:color w:val="auto"/>
          <w:sz w:val="24"/>
          <w:szCs w:val="24"/>
          <w:highlight w:val="none"/>
          <w:lang w:val="en-US" w:eastAsia="zh-CN"/>
        </w:rPr>
        <w:t>2.</w:t>
      </w:r>
      <w:r>
        <w:rPr>
          <w:rFonts w:hint="eastAsia" w:eastAsia="宋体"/>
          <w:bCs/>
          <w:iCs/>
          <w:color w:val="auto"/>
          <w:sz w:val="24"/>
          <w:szCs w:val="24"/>
          <w:highlight w:val="none"/>
          <w:lang w:val="zh-CN"/>
        </w:rPr>
        <w:t>根据苏财购[2025]62号文件，评审委员会启动异常低价投标 （响应）审查的情形和具体要求，包括：</w:t>
      </w:r>
    </w:p>
    <w:p w14:paraId="2CABD968">
      <w:pPr>
        <w:spacing w:line="360" w:lineRule="auto"/>
        <w:ind w:firstLine="480"/>
        <w:rPr>
          <w:rFonts w:hint="eastAsia" w:eastAsia="宋体"/>
          <w:bCs/>
          <w:iCs/>
          <w:color w:val="auto"/>
          <w:sz w:val="24"/>
          <w:szCs w:val="24"/>
          <w:highlight w:val="none"/>
          <w:lang w:val="zh-CN"/>
        </w:rPr>
      </w:pPr>
      <w:r>
        <w:rPr>
          <w:rFonts w:hint="eastAsia" w:eastAsia="宋体"/>
          <w:bCs/>
          <w:iCs/>
          <w:color w:val="auto"/>
          <w:sz w:val="24"/>
          <w:szCs w:val="24"/>
          <w:highlight w:val="none"/>
          <w:lang w:val="zh-CN"/>
        </w:rPr>
        <w:t xml:space="preserve">（一）评审过程中出现下列情形之一的，评审委员会应当启动异常低价投标（响应）审查程序： </w:t>
      </w:r>
    </w:p>
    <w:p w14:paraId="666FA393">
      <w:pPr>
        <w:spacing w:line="360" w:lineRule="auto"/>
        <w:ind w:firstLine="480"/>
        <w:rPr>
          <w:rFonts w:hint="eastAsia" w:eastAsia="宋体"/>
          <w:bCs/>
          <w:iCs/>
          <w:color w:val="auto"/>
          <w:sz w:val="24"/>
          <w:szCs w:val="24"/>
          <w:highlight w:val="none"/>
          <w:lang w:val="zh-CN"/>
        </w:rPr>
      </w:pPr>
      <w:r>
        <w:rPr>
          <w:rFonts w:hint="eastAsia" w:eastAsia="宋体"/>
          <w:bCs/>
          <w:iCs/>
          <w:color w:val="auto"/>
          <w:sz w:val="24"/>
          <w:szCs w:val="24"/>
          <w:highlight w:val="none"/>
          <w:lang w:val="zh-CN"/>
        </w:rPr>
        <w:t xml:space="preserve">（1）投标（响应）报价低于采购项目预算50% 的，即投标（响应）报价&lt;采购项目预算×50% ； </w:t>
      </w:r>
    </w:p>
    <w:p w14:paraId="15E70005">
      <w:pPr>
        <w:spacing w:line="360" w:lineRule="auto"/>
        <w:ind w:firstLine="480"/>
        <w:rPr>
          <w:rFonts w:hint="eastAsia" w:eastAsia="宋体"/>
          <w:bCs/>
          <w:iCs/>
          <w:color w:val="auto"/>
          <w:sz w:val="24"/>
          <w:szCs w:val="24"/>
          <w:highlight w:val="none"/>
          <w:lang w:val="zh-CN"/>
        </w:rPr>
      </w:pPr>
      <w:r>
        <w:rPr>
          <w:rFonts w:hint="eastAsia" w:eastAsia="宋体"/>
          <w:bCs/>
          <w:iCs/>
          <w:color w:val="auto"/>
          <w:sz w:val="24"/>
          <w:szCs w:val="24"/>
          <w:highlight w:val="none"/>
          <w:lang w:val="zh-CN"/>
        </w:rPr>
        <w:t xml:space="preserve">（2）投标（响应）报价低于采购项目最高限价 45% 的，即投标（响应）报价&lt;采购项目最高限价×45% ； </w:t>
      </w:r>
    </w:p>
    <w:p w14:paraId="23235CDF">
      <w:pPr>
        <w:spacing w:line="360" w:lineRule="auto"/>
        <w:ind w:firstLine="480"/>
        <w:rPr>
          <w:rFonts w:hint="eastAsia" w:eastAsia="宋体"/>
          <w:bCs/>
          <w:iCs/>
          <w:color w:val="auto"/>
          <w:sz w:val="24"/>
          <w:szCs w:val="24"/>
          <w:highlight w:val="none"/>
          <w:lang w:val="zh-CN"/>
        </w:rPr>
      </w:pPr>
      <w:r>
        <w:rPr>
          <w:rFonts w:hint="eastAsia" w:eastAsia="宋体"/>
          <w:bCs/>
          <w:iCs/>
          <w:color w:val="auto"/>
          <w:sz w:val="24"/>
          <w:szCs w:val="24"/>
          <w:highlight w:val="none"/>
          <w:lang w:val="zh-CN"/>
        </w:rPr>
        <w:t xml:space="preserve">（3）评审委员会认定的供应商报价过低、有可能影响产品质量或者不能诚信履约的其他情形。 </w:t>
      </w:r>
    </w:p>
    <w:p w14:paraId="1DEC3579">
      <w:pPr>
        <w:spacing w:line="360" w:lineRule="auto"/>
        <w:ind w:firstLine="480"/>
        <w:rPr>
          <w:rFonts w:hint="default" w:eastAsia="宋体"/>
          <w:bCs/>
          <w:iCs/>
          <w:color w:val="auto"/>
          <w:sz w:val="24"/>
          <w:szCs w:val="24"/>
          <w:highlight w:val="none"/>
          <w:lang w:val="en-US" w:eastAsia="zh-CN"/>
        </w:rPr>
      </w:pPr>
      <w:r>
        <w:rPr>
          <w:rFonts w:hint="eastAsia" w:eastAsia="宋体"/>
          <w:bCs/>
          <w:iCs/>
          <w:color w:val="auto"/>
          <w:sz w:val="24"/>
          <w:szCs w:val="24"/>
          <w:highlight w:val="none"/>
          <w:lang w:val="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4AC87A7">
      <w:pPr>
        <w:spacing w:line="500" w:lineRule="exac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采购标的对应的中小企业划分标准所属行业</w:t>
      </w:r>
      <w:r>
        <w:rPr>
          <w:rFonts w:hint="eastAsia" w:ascii="宋体" w:hAnsi="宋体"/>
          <w:b/>
          <w:bCs/>
          <w:color w:val="auto"/>
          <w:sz w:val="24"/>
          <w:szCs w:val="24"/>
          <w:highlight w:val="none"/>
          <w:lang w:val="en-US" w:eastAsia="zh-CN"/>
        </w:rPr>
        <w:t>为：租赁与商业服务业</w:t>
      </w:r>
    </w:p>
    <w:p w14:paraId="0EA86374">
      <w:pPr>
        <w:spacing w:line="500" w:lineRule="exact"/>
        <w:rPr>
          <w:rFonts w:hint="eastAsia" w:ascii="宋体" w:hAnsi="宋体"/>
          <w:color w:val="auto"/>
          <w:sz w:val="24"/>
          <w:szCs w:val="24"/>
          <w:highlight w:val="none"/>
        </w:rPr>
      </w:pPr>
    </w:p>
    <w:p w14:paraId="26866650">
      <w:pPr>
        <w:rPr>
          <w:rFonts w:hint="eastAsia" w:ascii="宋体" w:hAnsi="宋体" w:eastAsia="宋体" w:cs="Times New Roman"/>
          <w:b/>
          <w:bCs/>
          <w:color w:val="auto"/>
          <w:kern w:val="44"/>
          <w:sz w:val="24"/>
          <w:szCs w:val="24"/>
          <w:highlight w:val="none"/>
          <w:lang w:val="en-US" w:eastAsia="zh-CN"/>
        </w:rPr>
      </w:pPr>
      <w:r>
        <w:rPr>
          <w:rFonts w:hint="eastAsia" w:ascii="宋体" w:hAnsi="宋体" w:eastAsia="宋体" w:cs="Times New Roman"/>
          <w:b/>
          <w:bCs/>
          <w:color w:val="auto"/>
          <w:kern w:val="44"/>
          <w:sz w:val="24"/>
          <w:szCs w:val="24"/>
          <w:highlight w:val="none"/>
          <w:lang w:val="en-US" w:eastAsia="zh-CN"/>
        </w:rPr>
        <w:br w:type="page"/>
      </w:r>
    </w:p>
    <w:p w14:paraId="4F609632">
      <w:pPr>
        <w:spacing w:line="360" w:lineRule="auto"/>
        <w:ind w:firstLine="42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一、项目名称：仪征市中医院辅医与物流服务项目。</w:t>
      </w:r>
    </w:p>
    <w:p w14:paraId="5493E2C9">
      <w:pPr>
        <w:spacing w:line="360" w:lineRule="auto"/>
        <w:ind w:firstLine="420"/>
        <w:jc w:val="both"/>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二、项目概况：仪征市中医院成立于1986年，是一所集医疗、教学、科研、预防保健为一体的三级中医医院，其中需要提供辅医与物流服务区域包括门诊楼、病房楼、行政楼等。本项目服务内容包括安保、运送、消毒</w:t>
      </w:r>
      <w:r>
        <w:rPr>
          <w:rFonts w:hint="eastAsia" w:ascii="宋体" w:hAnsi="宋体" w:cs="宋体"/>
          <w:color w:val="auto"/>
          <w:sz w:val="24"/>
          <w:szCs w:val="24"/>
          <w:highlight w:val="none"/>
        </w:rPr>
        <w:t>及其他相关</w:t>
      </w:r>
      <w:r>
        <w:rPr>
          <w:rFonts w:hint="eastAsia" w:ascii="宋体" w:hAnsi="宋体" w:cs="宋体"/>
          <w:color w:val="auto"/>
          <w:sz w:val="24"/>
          <w:szCs w:val="24"/>
          <w:highlight w:val="none"/>
          <w:lang w:eastAsia="zh-CN"/>
        </w:rPr>
        <w:t>辅医与物流服务</w:t>
      </w:r>
      <w:r>
        <w:rPr>
          <w:rFonts w:hint="eastAsia" w:ascii="宋体" w:hAnsi="宋体" w:cs="宋体"/>
          <w:color w:val="auto"/>
          <w:sz w:val="24"/>
          <w:szCs w:val="24"/>
          <w:highlight w:val="none"/>
        </w:rPr>
        <w:t>等服务</w:t>
      </w:r>
      <w:r>
        <w:rPr>
          <w:rFonts w:hint="eastAsia" w:ascii="宋体" w:hAnsi="宋体"/>
          <w:color w:val="auto"/>
          <w:sz w:val="24"/>
          <w:szCs w:val="24"/>
          <w:highlight w:val="none"/>
          <w:lang w:val="en-US" w:eastAsia="zh-CN"/>
        </w:rPr>
        <w:t>。</w:t>
      </w:r>
    </w:p>
    <w:p w14:paraId="12F8E6C0">
      <w:pPr>
        <w:spacing w:line="360" w:lineRule="auto"/>
        <w:ind w:firstLine="420"/>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医院占地面积68亩,建筑面积5.6万平方米,编制床位401张，开放床位550张</w:t>
      </w:r>
      <w:r>
        <w:rPr>
          <w:rFonts w:hint="eastAsia" w:ascii="宋体" w:hAnsi="宋体" w:cs="宋体"/>
          <w:color w:val="auto"/>
          <w:sz w:val="21"/>
          <w:szCs w:val="21"/>
          <w:highlight w:val="none"/>
          <w:lang w:val="en-US" w:eastAsia="zh-CN"/>
        </w:rPr>
        <w:t>。</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tblGrid>
      <w:tr w14:paraId="65C2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33294F25">
            <w:pPr>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rPr>
              <w:t>序号</w:t>
            </w:r>
          </w:p>
        </w:tc>
        <w:tc>
          <w:tcPr>
            <w:tcW w:w="1217" w:type="dxa"/>
            <w:noWrap w:val="0"/>
            <w:vAlign w:val="center"/>
          </w:tcPr>
          <w:p w14:paraId="58482403">
            <w:pPr>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区域</w:t>
            </w:r>
            <w:r>
              <w:rPr>
                <w:rFonts w:hint="eastAsia" w:ascii="宋体" w:hAnsi="宋体" w:cs="宋体"/>
                <w:b/>
                <w:bCs/>
                <w:color w:val="auto"/>
                <w:sz w:val="21"/>
                <w:szCs w:val="21"/>
                <w:highlight w:val="none"/>
              </w:rPr>
              <w:t>名称</w:t>
            </w:r>
          </w:p>
        </w:tc>
        <w:tc>
          <w:tcPr>
            <w:tcW w:w="1217" w:type="dxa"/>
            <w:noWrap w:val="0"/>
            <w:vAlign w:val="center"/>
          </w:tcPr>
          <w:p w14:paraId="4216C8C6">
            <w:pPr>
              <w:jc w:val="center"/>
              <w:rPr>
                <w:rFonts w:hint="eastAsia" w:ascii="宋体" w:hAnsi="宋体" w:cs="宋体"/>
                <w:color w:val="auto"/>
                <w:sz w:val="21"/>
                <w:szCs w:val="21"/>
                <w:highlight w:val="none"/>
                <w:vertAlign w:val="baseline"/>
              </w:rPr>
            </w:pPr>
            <w:r>
              <w:rPr>
                <w:rFonts w:hint="eastAsia" w:ascii="宋体" w:hAnsi="宋体" w:cs="宋体"/>
                <w:b/>
                <w:bCs/>
                <w:color w:val="auto"/>
                <w:sz w:val="21"/>
                <w:szCs w:val="21"/>
                <w:highlight w:val="none"/>
              </w:rPr>
              <w:t>地下室面积（㎡）</w:t>
            </w:r>
          </w:p>
        </w:tc>
        <w:tc>
          <w:tcPr>
            <w:tcW w:w="1217" w:type="dxa"/>
            <w:noWrap w:val="0"/>
            <w:vAlign w:val="center"/>
          </w:tcPr>
          <w:p w14:paraId="0324C94C">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地上面积</w:t>
            </w:r>
          </w:p>
          <w:p w14:paraId="5E767A49">
            <w:pPr>
              <w:jc w:val="center"/>
              <w:rPr>
                <w:rFonts w:hint="eastAsia" w:ascii="宋体" w:hAnsi="宋体" w:cs="宋体"/>
                <w:color w:val="auto"/>
                <w:sz w:val="21"/>
                <w:szCs w:val="21"/>
                <w:highlight w:val="none"/>
                <w:vertAlign w:val="baseline"/>
              </w:rPr>
            </w:pPr>
            <w:r>
              <w:rPr>
                <w:rFonts w:hint="eastAsia" w:ascii="宋体" w:hAnsi="宋体" w:cs="宋体"/>
                <w:b/>
                <w:bCs/>
                <w:color w:val="auto"/>
                <w:sz w:val="21"/>
                <w:szCs w:val="21"/>
                <w:highlight w:val="none"/>
              </w:rPr>
              <w:t>（㎡）</w:t>
            </w:r>
          </w:p>
        </w:tc>
        <w:tc>
          <w:tcPr>
            <w:tcW w:w="1218" w:type="dxa"/>
            <w:noWrap w:val="0"/>
            <w:vAlign w:val="center"/>
          </w:tcPr>
          <w:p w14:paraId="2C224A75">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总面积</w:t>
            </w:r>
          </w:p>
          <w:p w14:paraId="3A8BEECB">
            <w:pPr>
              <w:jc w:val="center"/>
              <w:rPr>
                <w:rFonts w:hint="eastAsia" w:ascii="宋体" w:hAnsi="宋体" w:cs="宋体"/>
                <w:color w:val="auto"/>
                <w:sz w:val="21"/>
                <w:szCs w:val="21"/>
                <w:highlight w:val="none"/>
                <w:vertAlign w:val="baseline"/>
              </w:rPr>
            </w:pPr>
            <w:r>
              <w:rPr>
                <w:rFonts w:hint="eastAsia" w:ascii="宋体" w:hAnsi="宋体" w:cs="宋体"/>
                <w:b/>
                <w:bCs/>
                <w:color w:val="auto"/>
                <w:sz w:val="21"/>
                <w:szCs w:val="21"/>
                <w:highlight w:val="none"/>
              </w:rPr>
              <w:t>（㎡）</w:t>
            </w:r>
          </w:p>
        </w:tc>
        <w:tc>
          <w:tcPr>
            <w:tcW w:w="1218" w:type="dxa"/>
            <w:noWrap w:val="0"/>
            <w:vAlign w:val="center"/>
          </w:tcPr>
          <w:p w14:paraId="7D866DC0">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b/>
                <w:bCs/>
                <w:color w:val="auto"/>
                <w:sz w:val="21"/>
                <w:szCs w:val="21"/>
                <w:highlight w:val="none"/>
                <w:lang w:val="en-US" w:eastAsia="zh-CN"/>
              </w:rPr>
              <w:t>备注</w:t>
            </w:r>
          </w:p>
        </w:tc>
      </w:tr>
      <w:tr w14:paraId="749A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6CF52B8F">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w:t>
            </w:r>
          </w:p>
        </w:tc>
        <w:tc>
          <w:tcPr>
            <w:tcW w:w="1217" w:type="dxa"/>
            <w:noWrap w:val="0"/>
            <w:vAlign w:val="center"/>
          </w:tcPr>
          <w:p w14:paraId="3089EE99">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门诊楼</w:t>
            </w:r>
          </w:p>
        </w:tc>
        <w:tc>
          <w:tcPr>
            <w:tcW w:w="1217" w:type="dxa"/>
            <w:noWrap w:val="0"/>
            <w:vAlign w:val="center"/>
          </w:tcPr>
          <w:p w14:paraId="26080DB2">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5636</w:t>
            </w:r>
          </w:p>
        </w:tc>
        <w:tc>
          <w:tcPr>
            <w:tcW w:w="1217" w:type="dxa"/>
            <w:noWrap w:val="0"/>
            <w:vAlign w:val="center"/>
          </w:tcPr>
          <w:p w14:paraId="405080F5">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11756</w:t>
            </w:r>
          </w:p>
        </w:tc>
        <w:tc>
          <w:tcPr>
            <w:tcW w:w="1218" w:type="dxa"/>
            <w:noWrap w:val="0"/>
            <w:vAlign w:val="center"/>
          </w:tcPr>
          <w:p w14:paraId="51B8468F">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17392</w:t>
            </w:r>
          </w:p>
        </w:tc>
        <w:tc>
          <w:tcPr>
            <w:tcW w:w="1218" w:type="dxa"/>
            <w:noWrap w:val="0"/>
            <w:vAlign w:val="center"/>
          </w:tcPr>
          <w:p w14:paraId="56E6DE92">
            <w:pPr>
              <w:spacing w:line="360" w:lineRule="auto"/>
              <w:jc w:val="center"/>
              <w:rPr>
                <w:rFonts w:hint="eastAsia" w:ascii="宋体" w:hAnsi="宋体" w:cs="宋体"/>
                <w:color w:val="auto"/>
                <w:sz w:val="21"/>
                <w:szCs w:val="21"/>
                <w:highlight w:val="none"/>
                <w:vertAlign w:val="baseline"/>
              </w:rPr>
            </w:pPr>
          </w:p>
        </w:tc>
      </w:tr>
      <w:tr w14:paraId="729A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770C6648">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w:t>
            </w:r>
          </w:p>
        </w:tc>
        <w:tc>
          <w:tcPr>
            <w:tcW w:w="1217" w:type="dxa"/>
            <w:noWrap w:val="0"/>
            <w:vAlign w:val="center"/>
          </w:tcPr>
          <w:p w14:paraId="72E3F3B2">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病房楼</w:t>
            </w:r>
          </w:p>
        </w:tc>
        <w:tc>
          <w:tcPr>
            <w:tcW w:w="1217" w:type="dxa"/>
            <w:noWrap w:val="0"/>
            <w:vAlign w:val="center"/>
          </w:tcPr>
          <w:p w14:paraId="6889D4D3">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3266</w:t>
            </w:r>
          </w:p>
        </w:tc>
        <w:tc>
          <w:tcPr>
            <w:tcW w:w="1217" w:type="dxa"/>
            <w:noWrap w:val="0"/>
            <w:vAlign w:val="center"/>
          </w:tcPr>
          <w:p w14:paraId="68FBF9D2">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29197.7</w:t>
            </w:r>
          </w:p>
        </w:tc>
        <w:tc>
          <w:tcPr>
            <w:tcW w:w="1218" w:type="dxa"/>
            <w:noWrap w:val="0"/>
            <w:vAlign w:val="center"/>
          </w:tcPr>
          <w:p w14:paraId="4A61024A">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32463.7</w:t>
            </w:r>
          </w:p>
        </w:tc>
        <w:tc>
          <w:tcPr>
            <w:tcW w:w="1218" w:type="dxa"/>
            <w:noWrap w:val="0"/>
            <w:vAlign w:val="center"/>
          </w:tcPr>
          <w:p w14:paraId="627B1C05">
            <w:pPr>
              <w:spacing w:line="360" w:lineRule="auto"/>
              <w:jc w:val="center"/>
              <w:rPr>
                <w:rFonts w:hint="eastAsia" w:ascii="宋体" w:hAnsi="宋体" w:cs="宋体"/>
                <w:color w:val="auto"/>
                <w:sz w:val="21"/>
                <w:szCs w:val="21"/>
                <w:highlight w:val="none"/>
                <w:vertAlign w:val="baseline"/>
              </w:rPr>
            </w:pPr>
          </w:p>
        </w:tc>
      </w:tr>
      <w:tr w14:paraId="26FC2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noWrap w:val="0"/>
            <w:vAlign w:val="center"/>
          </w:tcPr>
          <w:p w14:paraId="310D135D">
            <w:pPr>
              <w:spacing w:line="360" w:lineRule="auto"/>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3</w:t>
            </w:r>
          </w:p>
        </w:tc>
        <w:tc>
          <w:tcPr>
            <w:tcW w:w="1217" w:type="dxa"/>
            <w:noWrap w:val="0"/>
            <w:vAlign w:val="center"/>
          </w:tcPr>
          <w:p w14:paraId="08BD03F4">
            <w:pPr>
              <w:spacing w:line="360" w:lineRule="auto"/>
              <w:jc w:val="center"/>
              <w:rPr>
                <w:rFonts w:hint="default" w:ascii="宋体" w:hAnsi="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行政楼</w:t>
            </w:r>
          </w:p>
        </w:tc>
        <w:tc>
          <w:tcPr>
            <w:tcW w:w="1217" w:type="dxa"/>
            <w:noWrap w:val="0"/>
            <w:vAlign w:val="center"/>
          </w:tcPr>
          <w:p w14:paraId="6C839842">
            <w:pPr>
              <w:spacing w:line="360" w:lineRule="auto"/>
              <w:jc w:val="center"/>
              <w:rPr>
                <w:rFonts w:hint="eastAsia" w:ascii="宋体" w:hAnsi="宋体" w:cs="宋体"/>
                <w:color w:val="auto"/>
                <w:sz w:val="21"/>
                <w:szCs w:val="21"/>
                <w:highlight w:val="none"/>
                <w:vertAlign w:val="baseline"/>
              </w:rPr>
            </w:pPr>
          </w:p>
        </w:tc>
        <w:tc>
          <w:tcPr>
            <w:tcW w:w="1217" w:type="dxa"/>
            <w:noWrap w:val="0"/>
            <w:vAlign w:val="center"/>
          </w:tcPr>
          <w:p w14:paraId="37839592">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22250</w:t>
            </w:r>
          </w:p>
        </w:tc>
        <w:tc>
          <w:tcPr>
            <w:tcW w:w="1218" w:type="dxa"/>
            <w:noWrap w:val="0"/>
            <w:vAlign w:val="center"/>
          </w:tcPr>
          <w:p w14:paraId="2476EC36">
            <w:pPr>
              <w:spacing w:line="360" w:lineRule="auto"/>
              <w:jc w:val="center"/>
              <w:rPr>
                <w:rFonts w:hint="eastAsia" w:ascii="宋体" w:hAnsi="宋体" w:cs="宋体"/>
                <w:color w:val="auto"/>
                <w:sz w:val="21"/>
                <w:szCs w:val="21"/>
                <w:highlight w:val="none"/>
                <w:vertAlign w:val="baseline"/>
              </w:rPr>
            </w:pPr>
            <w:r>
              <w:rPr>
                <w:rFonts w:hint="eastAsia" w:ascii="宋体" w:hAnsi="宋体" w:cs="宋体"/>
                <w:color w:val="auto"/>
                <w:sz w:val="21"/>
                <w:szCs w:val="21"/>
                <w:highlight w:val="none"/>
                <w:vertAlign w:val="baseline"/>
                <w:lang w:val="en-US" w:eastAsia="zh-CN"/>
              </w:rPr>
              <w:t>22250</w:t>
            </w:r>
          </w:p>
        </w:tc>
        <w:tc>
          <w:tcPr>
            <w:tcW w:w="1218" w:type="dxa"/>
            <w:noWrap w:val="0"/>
            <w:vAlign w:val="center"/>
          </w:tcPr>
          <w:p w14:paraId="7E3BBEA9">
            <w:pPr>
              <w:spacing w:line="360" w:lineRule="auto"/>
              <w:jc w:val="center"/>
              <w:rPr>
                <w:rFonts w:hint="eastAsia" w:ascii="宋体" w:hAnsi="宋体" w:cs="宋体"/>
                <w:color w:val="auto"/>
                <w:sz w:val="21"/>
                <w:szCs w:val="21"/>
                <w:highlight w:val="none"/>
                <w:vertAlign w:val="baseline"/>
              </w:rPr>
            </w:pPr>
          </w:p>
        </w:tc>
      </w:tr>
    </w:tbl>
    <w:p w14:paraId="691298B2">
      <w:pPr>
        <w:spacing w:line="360" w:lineRule="auto"/>
        <w:rPr>
          <w:rFonts w:ascii="宋体" w:hAnsi="宋体" w:cs="宋体"/>
          <w:color w:val="auto"/>
          <w:highlight w:val="none"/>
        </w:rPr>
      </w:pPr>
    </w:p>
    <w:p w14:paraId="5E08C150">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三、服务范围：包含院区内所有占地面积及本项目所列举的所有范围。</w:t>
      </w:r>
    </w:p>
    <w:p w14:paraId="41A12BBF">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四、项目预算：</w:t>
      </w:r>
      <w:r>
        <w:rPr>
          <w:rFonts w:hint="eastAsia" w:ascii="宋体" w:hAnsi="宋体" w:cs="宋体"/>
          <w:color w:val="auto"/>
          <w:highlight w:val="none"/>
          <w:lang w:val="en-US" w:eastAsia="zh-CN"/>
        </w:rPr>
        <w:t>600</w:t>
      </w:r>
      <w:r>
        <w:rPr>
          <w:rFonts w:hint="eastAsia" w:ascii="宋体" w:hAnsi="宋体" w:cs="宋体"/>
          <w:color w:val="auto"/>
          <w:highlight w:val="none"/>
        </w:rPr>
        <w:t>万元/3年（</w:t>
      </w:r>
      <w:r>
        <w:rPr>
          <w:rFonts w:hint="eastAsia" w:ascii="宋体" w:hAnsi="宋体" w:cs="宋体"/>
          <w:color w:val="auto"/>
          <w:highlight w:val="none"/>
          <w:lang w:val="en-US" w:eastAsia="zh-CN"/>
        </w:rPr>
        <w:t>200</w:t>
      </w:r>
      <w:r>
        <w:rPr>
          <w:rFonts w:hint="eastAsia" w:ascii="宋体" w:hAnsi="宋体" w:cs="宋体"/>
          <w:color w:val="auto"/>
          <w:highlight w:val="none"/>
        </w:rPr>
        <w:t>万元/年），最高限价：</w:t>
      </w:r>
      <w:r>
        <w:rPr>
          <w:rFonts w:hint="eastAsia" w:ascii="宋体" w:hAnsi="宋体" w:cs="宋体"/>
          <w:color w:val="auto"/>
          <w:highlight w:val="none"/>
          <w:lang w:val="en-US" w:eastAsia="zh-CN"/>
        </w:rPr>
        <w:t>600</w:t>
      </w:r>
      <w:r>
        <w:rPr>
          <w:rFonts w:hint="eastAsia" w:ascii="宋体" w:hAnsi="宋体" w:cs="宋体"/>
          <w:color w:val="auto"/>
          <w:highlight w:val="none"/>
        </w:rPr>
        <w:t>万元/3年（</w:t>
      </w:r>
      <w:r>
        <w:rPr>
          <w:rFonts w:hint="eastAsia" w:ascii="宋体" w:hAnsi="宋体" w:cs="宋体"/>
          <w:color w:val="auto"/>
          <w:highlight w:val="none"/>
          <w:lang w:val="en-US" w:eastAsia="zh-CN"/>
        </w:rPr>
        <w:t>200</w:t>
      </w:r>
      <w:r>
        <w:rPr>
          <w:rFonts w:hint="eastAsia" w:ascii="宋体" w:hAnsi="宋体" w:cs="宋体"/>
          <w:color w:val="auto"/>
          <w:highlight w:val="none"/>
        </w:rPr>
        <w:t>万元/年）</w:t>
      </w:r>
      <w:r>
        <w:rPr>
          <w:rFonts w:hint="eastAsia" w:ascii="宋体" w:hAnsi="宋体" w:cs="宋体"/>
          <w:color w:val="auto"/>
          <w:szCs w:val="21"/>
          <w:highlight w:val="none"/>
        </w:rPr>
        <w:t>，投标报价超过最高限价按无效响应文件处理</w:t>
      </w:r>
      <w:r>
        <w:rPr>
          <w:rFonts w:hint="eastAsia" w:ascii="宋体" w:hAnsi="宋体" w:cs="宋体"/>
          <w:color w:val="auto"/>
          <w:highlight w:val="none"/>
        </w:rPr>
        <w:t xml:space="preserve">。                                    </w:t>
      </w:r>
    </w:p>
    <w:p w14:paraId="27804F01">
      <w:pPr>
        <w:adjustRightInd w:val="0"/>
        <w:snapToGrid w:val="0"/>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五、服务期：三年（自签订合同之日起计算）。</w:t>
      </w:r>
    </w:p>
    <w:p w14:paraId="6814F26C">
      <w:pPr>
        <w:spacing w:line="360" w:lineRule="auto"/>
        <w:ind w:firstLine="42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本项目合同首签一年，在当年考核合格的情况下，采购人和中标人签订下一年合同，每年合同签订金额为总报价/3年。</w:t>
      </w:r>
    </w:p>
    <w:p w14:paraId="2C3832D1">
      <w:pPr>
        <w:spacing w:line="360" w:lineRule="auto"/>
        <w:ind w:firstLine="42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六、付款方式：甲方付款方式：合同签定后，乙方向甲方开具发票，甲方自收到发票之日（乙方开票日期）起10个工作日内支付一年合同总价30%的预付款；剩余合同总价的70%，甲乙双方按三个月为一个周期结算服务费用，每周期结束后，甲乙双方按考核结果确定实际支付费用，甲方自收到发票之日（乙方开票日期）起10个工作日内支付。</w:t>
      </w:r>
    </w:p>
    <w:p w14:paraId="0D024399">
      <w:pPr>
        <w:keepNext w:val="0"/>
        <w:keepLines w:val="0"/>
        <w:pageBreakBefore w:val="0"/>
        <w:widowControl w:val="0"/>
        <w:spacing w:line="360" w:lineRule="auto"/>
        <w:ind w:firstLine="0"/>
        <w:jc w:val="left"/>
        <w:outlineLvl w:val="0"/>
        <w:rPr>
          <w:rFonts w:hint="eastAsia" w:ascii="宋体" w:hAnsi="宋体" w:cs="宋体"/>
          <w:b/>
          <w:bCs w:val="0"/>
          <w:color w:val="auto"/>
          <w:sz w:val="24"/>
          <w:highlight w:val="none"/>
          <w:lang w:eastAsia="zh-CN"/>
        </w:rPr>
      </w:pPr>
      <w:r>
        <w:rPr>
          <w:rFonts w:hint="eastAsia" w:ascii="宋体" w:hAnsi="宋体" w:cs="宋体"/>
          <w:b/>
          <w:bCs w:val="0"/>
          <w:color w:val="auto"/>
          <w:sz w:val="24"/>
          <w:highlight w:val="none"/>
          <w:lang w:val="en-US" w:eastAsia="zh-CN"/>
        </w:rPr>
        <w:t>七、报价</w:t>
      </w:r>
      <w:r>
        <w:rPr>
          <w:rFonts w:hint="eastAsia" w:ascii="宋体" w:hAnsi="宋体" w:cs="宋体"/>
          <w:b/>
          <w:bCs w:val="0"/>
          <w:color w:val="auto"/>
          <w:sz w:val="24"/>
          <w:highlight w:val="none"/>
          <w:lang w:eastAsia="zh-CN"/>
        </w:rPr>
        <w:t>要求</w:t>
      </w:r>
    </w:p>
    <w:p w14:paraId="66DE2D85">
      <w:pPr>
        <w:spacing w:line="360" w:lineRule="auto"/>
        <w:ind w:firstLine="420"/>
        <w:rPr>
          <w:rFonts w:hint="eastAsia" w:ascii="宋体" w:hAnsi="宋体" w:cs="宋体"/>
          <w:b w:val="0"/>
          <w:bCs w:val="0"/>
          <w:i/>
          <w:iCs/>
          <w:color w:val="auto"/>
          <w:sz w:val="24"/>
          <w:szCs w:val="24"/>
          <w:highlight w:val="none"/>
          <w:u w:val="single"/>
        </w:rPr>
      </w:pPr>
      <w:r>
        <w:rPr>
          <w:rFonts w:hint="eastAsia" w:ascii="宋体" w:hAnsi="宋体" w:cs="宋体"/>
          <w:b w:val="0"/>
          <w:bCs w:val="0"/>
          <w:i/>
          <w:iCs/>
          <w:color w:val="auto"/>
          <w:sz w:val="21"/>
          <w:szCs w:val="21"/>
          <w:highlight w:val="none"/>
          <w:u w:val="single"/>
        </w:rPr>
        <w:t>1、投标报价应包括所有的费用（含为完成招标文件规定的服务工作所涉及到的一切相关费用）；人员工资、法定的社会保险（养老、工伤、失业）、医疗保险（医疗、大病救助）、住房公积金、法定节假日加班费、节假日福利费、高温补贴、意外伤害保险（未缴纳社保的人员需缴纳不少于</w:t>
      </w:r>
      <w:r>
        <w:rPr>
          <w:rFonts w:hint="eastAsia" w:ascii="宋体" w:hAnsi="宋体" w:cs="宋体"/>
          <w:b w:val="0"/>
          <w:bCs w:val="0"/>
          <w:i/>
          <w:iCs/>
          <w:color w:val="auto"/>
          <w:sz w:val="21"/>
          <w:szCs w:val="21"/>
          <w:highlight w:val="none"/>
          <w:u w:val="single"/>
          <w:lang w:val="en-US" w:eastAsia="zh-CN"/>
        </w:rPr>
        <w:t>80</w:t>
      </w:r>
      <w:r>
        <w:rPr>
          <w:rFonts w:hint="eastAsia" w:ascii="宋体" w:hAnsi="宋体" w:cs="宋体"/>
          <w:b w:val="0"/>
          <w:bCs w:val="0"/>
          <w:i/>
          <w:iCs/>
          <w:color w:val="auto"/>
          <w:sz w:val="21"/>
          <w:szCs w:val="21"/>
          <w:highlight w:val="none"/>
          <w:u w:val="single"/>
        </w:rPr>
        <w:t>万元的人身意外伤害险）</w:t>
      </w:r>
      <w:r>
        <w:rPr>
          <w:rFonts w:hint="eastAsia" w:ascii="宋体" w:hAnsi="宋体" w:cs="宋体"/>
          <w:b w:val="0"/>
          <w:bCs w:val="0"/>
          <w:i/>
          <w:iCs/>
          <w:color w:val="auto"/>
          <w:sz w:val="21"/>
          <w:szCs w:val="21"/>
          <w:highlight w:val="none"/>
          <w:u w:val="single"/>
          <w:lang w:eastAsia="zh-CN"/>
        </w:rPr>
        <w:t>、</w:t>
      </w:r>
      <w:r>
        <w:rPr>
          <w:rFonts w:hint="eastAsia" w:ascii="宋体" w:hAnsi="宋体" w:cs="宋体"/>
          <w:b w:val="0"/>
          <w:bCs w:val="0"/>
          <w:i/>
          <w:iCs/>
          <w:color w:val="auto"/>
          <w:sz w:val="21"/>
          <w:szCs w:val="21"/>
          <w:highlight w:val="none"/>
          <w:u w:val="single"/>
        </w:rPr>
        <w:t>服装费、管理费、法定税费及投标人自行考虑的其他费用。</w:t>
      </w:r>
    </w:p>
    <w:p w14:paraId="464C4219">
      <w:pPr>
        <w:keepNext w:val="0"/>
        <w:keepLines w:val="0"/>
        <w:pageBreakBefore w:val="0"/>
        <w:widowControl w:val="0"/>
        <w:spacing w:line="440" w:lineRule="exact"/>
        <w:ind w:firstLine="482"/>
        <w:outlineLvl w:val="9"/>
        <w:rPr>
          <w:rFonts w:hint="eastAsia" w:ascii="宋体" w:hAnsi="宋体"/>
          <w:b w:val="0"/>
          <w:bCs w:val="0"/>
          <w:i/>
          <w:iCs/>
          <w:color w:val="auto"/>
          <w:sz w:val="24"/>
          <w:highlight w:val="none"/>
          <w:u w:val="single"/>
        </w:rPr>
      </w:pPr>
      <w:r>
        <w:rPr>
          <w:rFonts w:hint="eastAsia" w:ascii="宋体" w:hAnsi="宋体"/>
          <w:b w:val="0"/>
          <w:bCs w:val="0"/>
          <w:i/>
          <w:iCs/>
          <w:color w:val="auto"/>
          <w:sz w:val="24"/>
          <w:highlight w:val="none"/>
          <w:u w:val="single"/>
        </w:rPr>
        <w:t>2、人员工资低于仪征市最低工资标准及未依法测算缴纳社会保险、医疗保险、住房公积金、税金的作无效报价处理。</w:t>
      </w:r>
    </w:p>
    <w:p w14:paraId="4862B69D">
      <w:pPr>
        <w:keepNext w:val="0"/>
        <w:keepLines w:val="0"/>
        <w:pageBreakBefore w:val="0"/>
        <w:widowControl/>
        <w:spacing w:line="440" w:lineRule="exact"/>
        <w:ind w:firstLine="480"/>
        <w:rPr>
          <w:rFonts w:hint="eastAsia" w:ascii="宋体" w:hAnsi="宋体" w:cs="宋体"/>
          <w:b/>
          <w:bCs/>
          <w:i/>
          <w:iCs/>
          <w:color w:val="auto"/>
          <w:sz w:val="24"/>
          <w:highlight w:val="none"/>
          <w:u w:val="single"/>
        </w:rPr>
      </w:pPr>
      <w:r>
        <w:rPr>
          <w:rFonts w:hint="eastAsia" w:ascii="宋体" w:hAnsi="宋体"/>
          <w:b w:val="0"/>
          <w:bCs w:val="0"/>
          <w:i/>
          <w:iCs/>
          <w:color w:val="auto"/>
          <w:sz w:val="24"/>
          <w:highlight w:val="none"/>
          <w:u w:val="single"/>
        </w:rPr>
        <w:t>3、</w:t>
      </w:r>
      <w:r>
        <w:rPr>
          <w:rFonts w:hint="eastAsia" w:ascii="宋体" w:hAnsi="宋体" w:cs="宋体"/>
          <w:b w:val="0"/>
          <w:bCs w:val="0"/>
          <w:i/>
          <w:iCs/>
          <w:color w:val="auto"/>
          <w:sz w:val="24"/>
          <w:highlight w:val="none"/>
          <w:u w:val="single"/>
        </w:rPr>
        <w:t>中标人承诺中标后在签订合同前向采购人提供派入本项目的</w:t>
      </w:r>
      <w:r>
        <w:rPr>
          <w:rFonts w:hint="eastAsia" w:ascii="宋体" w:hAnsi="宋体"/>
          <w:i/>
          <w:iCs/>
          <w:color w:val="auto"/>
          <w:sz w:val="24"/>
          <w:szCs w:val="24"/>
          <w:highlight w:val="none"/>
          <w:u w:val="single"/>
          <w:lang w:val="en-US" w:eastAsia="zh-CN"/>
        </w:rPr>
        <w:t>辅医与物流服务</w:t>
      </w:r>
      <w:r>
        <w:rPr>
          <w:rFonts w:hint="eastAsia" w:ascii="宋体" w:hAnsi="宋体" w:cs="宋体"/>
          <w:b w:val="0"/>
          <w:bCs w:val="0"/>
          <w:i/>
          <w:iCs/>
          <w:color w:val="auto"/>
          <w:sz w:val="24"/>
          <w:highlight w:val="none"/>
          <w:u w:val="single"/>
        </w:rPr>
        <w:t>人员花名册</w:t>
      </w:r>
      <w:r>
        <w:rPr>
          <w:rFonts w:hint="eastAsia" w:ascii="宋体" w:hAnsi="宋体" w:cs="宋体"/>
          <w:b w:val="0"/>
          <w:bCs w:val="0"/>
          <w:i/>
          <w:iCs/>
          <w:color w:val="auto"/>
          <w:sz w:val="24"/>
          <w:highlight w:val="none"/>
          <w:u w:val="single"/>
          <w:lang w:val="en-US" w:eastAsia="zh-CN"/>
        </w:rPr>
        <w:t>供</w:t>
      </w:r>
      <w:r>
        <w:rPr>
          <w:rFonts w:hint="eastAsia" w:ascii="宋体" w:hAnsi="宋体" w:cs="宋体"/>
          <w:b w:val="0"/>
          <w:bCs w:val="0"/>
          <w:i/>
          <w:iCs/>
          <w:color w:val="auto"/>
          <w:sz w:val="24"/>
          <w:highlight w:val="none"/>
          <w:u w:val="single"/>
        </w:rPr>
        <w:t>采购人审核。</w:t>
      </w:r>
      <w:r>
        <w:rPr>
          <w:rFonts w:hint="eastAsia" w:ascii="宋体" w:hAnsi="宋体" w:cs="宋体"/>
          <w:b/>
          <w:bCs/>
          <w:i/>
          <w:iCs/>
          <w:color w:val="auto"/>
          <w:sz w:val="24"/>
          <w:highlight w:val="none"/>
          <w:u w:val="single"/>
        </w:rPr>
        <w:t>（须提供承诺函，原件扫描上传）</w:t>
      </w:r>
    </w:p>
    <w:p w14:paraId="0CA81586">
      <w:pPr>
        <w:pageBreakBefore w:val="0"/>
        <w:widowControl/>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、中标人的投标报价，应是本项目招标范围和招标文件及合同条款上所列的各项内容中所述的全部，不得以任何理由予以重复，并以中标人在投标时提出的总价为依据；</w:t>
      </w:r>
    </w:p>
    <w:p w14:paraId="141AC2DB">
      <w:pPr>
        <w:pageBreakBefore w:val="0"/>
        <w:widowControl/>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除非招标文件予以更正，否则，中标人应毫无例外地按招标文件所列的清单中项目和数量填报综合单价和合价。中标人未填综合单价或合价的项目，在实施后，将不得以支付，并视作该项费用已包括在其它有价款的综合单价或合价内；</w:t>
      </w:r>
    </w:p>
    <w:p w14:paraId="6B440251">
      <w:pPr>
        <w:pageBreakBefore w:val="0"/>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充分了解项目的位置、情况、道路及任何其它足以影响投标报价的情况，任何因忽视或误解项目情况而导致的索赔或服务期限延长申请将不获批准；参与投标的单位自行踏勘现场，本次招标不统一组织踏勘。</w:t>
      </w:r>
    </w:p>
    <w:p w14:paraId="13CD1F2C">
      <w:pPr>
        <w:pageBreakBefore w:val="0"/>
        <w:widowControl/>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、中标人不得期望通过索赔等方式获取补偿，否则，除可能遭到拒绝外，还可能将被作为不良行为记录在案。各中标人在投标报价时，应充分考虑投标报价的风险。</w:t>
      </w:r>
    </w:p>
    <w:p w14:paraId="6280FE84">
      <w:pPr>
        <w:pageBreakBefore w:val="0"/>
        <w:widowControl/>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、服务所需的工具、设备、耗材由采购人提供</w:t>
      </w:r>
      <w:r>
        <w:rPr>
          <w:rFonts w:hint="eastAsia" w:ascii="宋体" w:hAnsi="宋体" w:cs="宋体"/>
          <w:color w:val="auto"/>
          <w:sz w:val="24"/>
          <w:highlight w:val="none"/>
          <w:lang w:eastAsia="zh-CN"/>
        </w:rPr>
        <w:t>。</w:t>
      </w:r>
    </w:p>
    <w:p w14:paraId="041F79A1">
      <w:pPr>
        <w:pageBreakBefore w:val="0"/>
        <w:widowControl/>
        <w:spacing w:line="440" w:lineRule="exact"/>
        <w:ind w:firstLine="480"/>
        <w:rPr>
          <w:rFonts w:hint="eastAsia" w:ascii="宋体" w:hAnsi="宋体" w:cs="宋体"/>
          <w:i/>
          <w:iCs/>
          <w:color w:val="auto"/>
          <w:sz w:val="24"/>
          <w:highlight w:val="none"/>
          <w:u w:val="single"/>
        </w:rPr>
      </w:pPr>
      <w:r>
        <w:rPr>
          <w:rFonts w:hint="eastAsia" w:ascii="宋体" w:hAnsi="宋体" w:cs="宋体"/>
          <w:i/>
          <w:iCs/>
          <w:color w:val="auto"/>
          <w:sz w:val="24"/>
          <w:highlight w:val="none"/>
          <w:u w:val="single"/>
          <w:lang w:val="en-US" w:eastAsia="zh-CN"/>
        </w:rPr>
        <w:t>9、</w:t>
      </w:r>
      <w:r>
        <w:rPr>
          <w:rFonts w:hint="eastAsia" w:ascii="宋体" w:hAnsi="宋体" w:cs="宋体"/>
          <w:i/>
          <w:iCs/>
          <w:color w:val="auto"/>
          <w:sz w:val="24"/>
          <w:highlight w:val="none"/>
          <w:u w:val="single"/>
        </w:rPr>
        <w:t>投标人拟投入人员若在一年内在其他项目享受过优惠政策抵扣报价的，不可在本项目重复使用。</w:t>
      </w:r>
    </w:p>
    <w:p w14:paraId="5F6F387F">
      <w:pPr>
        <w:pageBreakBefore w:val="0"/>
        <w:widowControl/>
        <w:spacing w:line="44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10、本项目所有配备人员，更换需提前一个月向采购人报备，同意后方可换人。</w:t>
      </w:r>
    </w:p>
    <w:p w14:paraId="748345F5">
      <w:pPr>
        <w:pageBreakBefore w:val="0"/>
        <w:widowControl/>
        <w:spacing w:line="44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11、服务过程中产生的安全事故均由中标人负责，与采购人无关。</w:t>
      </w:r>
    </w:p>
    <w:p w14:paraId="16489053">
      <w:pPr>
        <w:pageBreakBefore w:val="0"/>
        <w:widowControl/>
        <w:spacing w:line="440" w:lineRule="exact"/>
        <w:ind w:firstLine="480"/>
        <w:rPr>
          <w:rFonts w:hint="eastAsia" w:ascii="宋体" w:hAnsi="宋体" w:eastAsia="宋体" w:cs="宋体"/>
          <w:color w:val="auto"/>
          <w:highlight w:val="none"/>
        </w:rPr>
      </w:pPr>
      <w:r>
        <w:rPr>
          <w:rFonts w:hint="eastAsia" w:ascii="宋体" w:hAnsi="宋体" w:cs="宋体"/>
          <w:i/>
          <w:iCs/>
          <w:color w:val="auto"/>
          <w:sz w:val="24"/>
          <w:highlight w:val="none"/>
          <w:u w:val="single"/>
          <w:lang w:val="en-US" w:eastAsia="zh-CN"/>
        </w:rPr>
        <w:t>12、</w:t>
      </w:r>
      <w:r>
        <w:rPr>
          <w:rFonts w:hint="eastAsia" w:ascii="宋体" w:hAnsi="宋体" w:cs="宋体"/>
          <w:i/>
          <w:iCs/>
          <w:color w:val="auto"/>
          <w:sz w:val="24"/>
          <w:highlight w:val="none"/>
          <w:u w:val="single"/>
          <w:lang w:eastAsia="zh-CN"/>
        </w:rPr>
        <w:t>所有人员要求身体健康、无传染性疾病、不接受病退或领取病残津贴人员。</w:t>
      </w:r>
    </w:p>
    <w:p w14:paraId="3544613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八、服务标准及要求</w:t>
      </w:r>
    </w:p>
    <w:p w14:paraId="11FFE02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（一）服务总体要求</w:t>
      </w:r>
    </w:p>
    <w:p w14:paraId="6B319C25">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服务目标：坚持“以患者为中心，提高服务质量为核心”，围绕“精细管理、用心服务、安全可靠”的服务理念，切实改善服务态度，提高服务质量，提升沟通水平，规范服务行为，完善服务制度，确保服务安全，优化服务流程落到实处。为采购人提供优质、便捷、全方位的后勤综合服务保障。营造文明、舒适、温馨、高效、安全运行的医疗、教学、科研、办公、就医等环境。</w:t>
      </w:r>
    </w:p>
    <w:p w14:paraId="1DB60E06">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rPr>
        <w:t>2、投标人应设立与本服务项目所对应的组织机构，对服务流程与服务质量、培训、绩效、应急演练、员工权益保障实施有效管理；管理团队人数配置合理，确定各级员工的任务，确定权利与责任，确定工作标准，有效运用多种质量管理工具和信息化管理系统进行管理，如品管圈、5S管理模式、</w:t>
      </w:r>
      <w:r>
        <w:rPr>
          <w:rFonts w:hint="eastAsia" w:ascii="宋体" w:hAnsi="宋体" w:eastAsia="宋体" w:cs="宋体"/>
          <w:color w:val="auto"/>
          <w:szCs w:val="21"/>
          <w:highlight w:val="none"/>
        </w:rPr>
        <w:t>PDCA管理方式、网格化管理模式等，在服务项目中有部分成功实施的案例，对服务管理品质负责。</w:t>
      </w:r>
      <w:r>
        <w:rPr>
          <w:rFonts w:hint="eastAsia" w:ascii="宋体" w:hAnsi="宋体" w:eastAsia="宋体" w:cs="宋体"/>
          <w:color w:val="auto"/>
          <w:szCs w:val="21"/>
          <w:highlight w:val="none"/>
          <w:lang w:val="en-US" w:eastAsia="zh-CN"/>
        </w:rPr>
        <w:t>同时</w:t>
      </w:r>
      <w:r>
        <w:rPr>
          <w:rFonts w:hint="eastAsia" w:ascii="宋体" w:hAnsi="宋体" w:eastAsia="宋体" w:cs="宋体"/>
          <w:color w:val="auto"/>
          <w:szCs w:val="21"/>
          <w:highlight w:val="none"/>
        </w:rPr>
        <w:t>投标人具备</w:t>
      </w:r>
      <w:r>
        <w:rPr>
          <w:rFonts w:hint="eastAsia" w:ascii="宋体" w:hAnsi="宋体" w:eastAsia="宋体" w:cs="宋体"/>
          <w:color w:val="auto"/>
          <w:szCs w:val="21"/>
          <w:highlight w:val="none"/>
          <w:lang w:val="en-US" w:eastAsia="zh-CN"/>
        </w:rPr>
        <w:t>中药代煎服务的能力，能够具备转运中药饮品能力</w:t>
      </w:r>
      <w:r>
        <w:rPr>
          <w:rFonts w:hint="eastAsia" w:ascii="宋体" w:hAnsi="宋体" w:eastAsia="宋体" w:cs="宋体"/>
          <w:color w:val="auto"/>
          <w:szCs w:val="21"/>
          <w:highlight w:val="none"/>
        </w:rPr>
        <w:t>。</w:t>
      </w:r>
    </w:p>
    <w:p w14:paraId="79F7D5C8">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3、投标人须明晰业务范畴、任务、岗位职责及管理流程，形成与采购人管理需求的有效对接。具有完整的服务方案（至少包含运送、安保、</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 xml:space="preserve">导医导诊），各服务方案均须有重点，重点表达合理，对管理路径可追踪、有痕迹。能够采取培训、绩效管理等手段使作业标准或重点工作得到正确贯彻执行，使体系文件落在实处。 </w:t>
      </w:r>
    </w:p>
    <w:p w14:paraId="56CBAA85">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4、投标人具有健全的院感管理方案，其内容包括但不限于</w:t>
      </w:r>
      <w:r>
        <w:rPr>
          <w:rFonts w:hint="eastAsia" w:ascii="宋体" w:hAnsi="宋体" w:eastAsia="宋体" w:cs="宋体"/>
          <w:color w:val="auto"/>
          <w:szCs w:val="21"/>
          <w:highlight w:val="none"/>
          <w:lang w:val="en-US" w:eastAsia="zh-CN"/>
        </w:rPr>
        <w:t>不同等级环境污染风险区域的日常清洁与消毒隔离规范、清洁</w:t>
      </w:r>
      <w:r>
        <w:rPr>
          <w:rFonts w:hint="eastAsia" w:ascii="宋体" w:hAnsi="宋体" w:eastAsia="宋体" w:cs="宋体"/>
          <w:color w:val="auto"/>
          <w:szCs w:val="21"/>
          <w:highlight w:val="none"/>
        </w:rPr>
        <w:t>工具</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使用管理</w:t>
      </w:r>
      <w:r>
        <w:rPr>
          <w:rFonts w:hint="eastAsia" w:ascii="宋体" w:hAnsi="宋体" w:eastAsia="宋体" w:cs="宋体"/>
          <w:color w:val="auto"/>
          <w:szCs w:val="21"/>
          <w:highlight w:val="none"/>
          <w:lang w:val="en-US" w:eastAsia="zh-CN"/>
        </w:rPr>
        <w:t>规定、医疗废物分类收集规范、</w:t>
      </w:r>
      <w:r>
        <w:rPr>
          <w:rFonts w:hint="eastAsia" w:ascii="宋体" w:hAnsi="宋体" w:eastAsia="宋体" w:cs="宋体"/>
          <w:color w:val="auto"/>
          <w:szCs w:val="21"/>
          <w:highlight w:val="none"/>
        </w:rPr>
        <w:t>医院感染相关因素分析、重大新发突发传染病医疗废物管理特殊要求等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确保各项措施得到有效落实。</w:t>
      </w:r>
      <w:r>
        <w:rPr>
          <w:rFonts w:hint="eastAsia" w:ascii="宋体" w:hAnsi="宋体" w:eastAsia="宋体" w:cs="宋体"/>
          <w:color w:val="auto"/>
          <w:szCs w:val="21"/>
          <w:highlight w:val="none"/>
          <w:lang w:val="en-US" w:eastAsia="zh-CN"/>
        </w:rPr>
        <w:t>方案中需制定</w:t>
      </w:r>
      <w:r>
        <w:rPr>
          <w:rFonts w:hint="eastAsia" w:ascii="宋体" w:hAnsi="宋体" w:eastAsia="宋体" w:cs="宋体"/>
          <w:color w:val="auto"/>
          <w:szCs w:val="21"/>
          <w:highlight w:val="none"/>
        </w:rPr>
        <w:t>感染性物质处理</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可视化流程图，</w:t>
      </w:r>
      <w:r>
        <w:rPr>
          <w:rFonts w:hint="eastAsia" w:ascii="宋体" w:hAnsi="宋体" w:eastAsia="宋体" w:cs="宋体"/>
          <w:color w:val="auto"/>
          <w:szCs w:val="21"/>
          <w:highlight w:val="none"/>
          <w:lang w:val="en-US" w:eastAsia="zh-CN"/>
        </w:rPr>
        <w:t>其中详细展示</w:t>
      </w:r>
      <w:r>
        <w:rPr>
          <w:rFonts w:hint="eastAsia" w:ascii="宋体" w:hAnsi="宋体" w:eastAsia="宋体" w:cs="宋体"/>
          <w:color w:val="auto"/>
          <w:szCs w:val="21"/>
          <w:highlight w:val="none"/>
        </w:rPr>
        <w:t>不少于四个操作环节，以提升作业安全与效率。</w:t>
      </w:r>
    </w:p>
    <w:p w14:paraId="7E82874F">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人具有健全管理规章制度，其内容包括但不限于环境及物表消毒等卫生消毒管理，档案管理，人员培训、健康管理、职业安全防护等人员管理，应急管理等，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定性）；请（休）假管理制度（体现请假流程，婚假、病假等各类请假手续，配备请假单样式，以保障员工权益与工作秩序的双重和谐）；奖惩管理制度（体现晋升机制、奖励、严重违纪管理，共同营造公正、积极的工作氛围）等。</w:t>
      </w:r>
    </w:p>
    <w:p w14:paraId="791867D0">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投标人具备应对突发状况的应急保障能力，建立健全的突发事件应急预案，构建应急突发事件组织</w:t>
      </w:r>
      <w:r>
        <w:rPr>
          <w:rFonts w:hint="eastAsia" w:ascii="宋体" w:hAnsi="宋体" w:eastAsia="宋体" w:cs="宋体"/>
          <w:color w:val="auto"/>
          <w:szCs w:val="21"/>
          <w:highlight w:val="none"/>
          <w:lang w:val="en-US" w:eastAsia="zh-CN"/>
        </w:rPr>
        <w:t>架构</w:t>
      </w:r>
      <w:r>
        <w:rPr>
          <w:rFonts w:hint="eastAsia" w:ascii="宋体" w:hAnsi="宋体" w:eastAsia="宋体" w:cs="宋体"/>
          <w:color w:val="auto"/>
          <w:szCs w:val="21"/>
          <w:highlight w:val="none"/>
        </w:rPr>
        <w:t>，明确各组织岗位安全生产职责（如项目经理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管理人员</w:t>
      </w:r>
      <w:r>
        <w:rPr>
          <w:rFonts w:hint="eastAsia" w:ascii="宋体" w:hAnsi="宋体" w:eastAsia="宋体" w:cs="宋体"/>
          <w:color w:val="auto"/>
          <w:szCs w:val="21"/>
          <w:highlight w:val="none"/>
        </w:rPr>
        <w:t>职责等）。其内容包括但不限于公共安全类应急措施预案，如：火灾应急预案（投标人详尽阐述应对火警与火灾的处理原则，火警、火灾的处置办法等内容，确保紧急</w:t>
      </w:r>
      <w:r>
        <w:rPr>
          <w:rFonts w:hint="eastAsia" w:ascii="宋体" w:hAnsi="宋体" w:eastAsia="宋体" w:cs="宋体"/>
          <w:color w:val="auto"/>
          <w:szCs w:val="21"/>
          <w:highlight w:val="none"/>
          <w:lang w:val="en-US" w:eastAsia="zh-CN"/>
        </w:rPr>
        <w:t>发生</w:t>
      </w:r>
      <w:r>
        <w:rPr>
          <w:rFonts w:hint="eastAsia" w:ascii="宋体" w:hAnsi="宋体" w:eastAsia="宋体" w:cs="宋体"/>
          <w:color w:val="auto"/>
          <w:szCs w:val="21"/>
          <w:highlight w:val="none"/>
        </w:rPr>
        <w:t>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能</w:t>
      </w:r>
      <w:r>
        <w:rPr>
          <w:rFonts w:hint="eastAsia" w:ascii="宋体" w:hAnsi="宋体" w:eastAsia="宋体" w:cs="宋体"/>
          <w:color w:val="auto"/>
          <w:szCs w:val="21"/>
          <w:highlight w:val="none"/>
        </w:rPr>
        <w:t>有序应对、有效控制）；标本遗失应急预案（投标人详尽阐述标本遗失处理流程，确保在面对此类紧急情况时，能够有序、高效地采取补救措施）；患者跌倒应急预案（投标人详尽阐述患者跌倒应急措施流程，其中包含坠床跌倒应急措施流程等，确保在关键时刻能够迅速、妥善地实施救援）；感染风险应急预案（投标人详尽阐述感染风险事故风险分析、应急处置基本原则、应急组织机构及职责等）；职业暴露应急预案（投标人详尽阐述职业暴露应急措施）；电梯困人应急预案（投标人详尽阐述组织机构与职责、电梯困人处置程序，确保应对措施的周密与高效）；生产安全应急预案（投标人详尽阐述生产安全措施流程，确保每一步骤都精准到位，为安全生产筑起坚固的防线）；运送中突发事件应急预案（投标人详尽阐述患者在运送途中出现身体不适应急处置，标本在送检途中溅落应急处置，文件、单据运送途中丢失应急处置等，确保每项潜在危机均能迅速而有效地得到化解）；重大活动、重大保障应急预案（投标人详尽阐述重大活动、重大保障应急措施，确保在面对任何挑战时，均能展现迅速响应与精准应对的能力，保障活动的顺利进行与全面安全）；水管爆裂应急预案（投标人详尽阐述水管爆裂措施，确保在面对此类突发状况时，能够迅速采取行动，有效控制局面，保障设施与人员的安全）；高空坠物应急处理预案（投标人详尽阐述高空坠物应急预案，确保在面临此类紧急情况时，能够迅速采取行动，最大限度地保障人员安全与财产安全）等。</w:t>
      </w:r>
    </w:p>
    <w:p w14:paraId="64CCF23A">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自然灾害应急措施预案，如：地面防滑（雨雪天）应急预案（投标人详尽阐述地面防滑（雨雪天）应急措施，确保在恶劣气候中，能够及时采取措施，保障人员行走安全，</w:t>
      </w:r>
      <w:r>
        <w:rPr>
          <w:rFonts w:hint="eastAsia" w:ascii="宋体" w:hAnsi="宋体" w:eastAsia="宋体" w:cs="宋体"/>
          <w:color w:val="auto"/>
          <w:szCs w:val="21"/>
          <w:highlight w:val="none"/>
          <w:lang w:val="en-US" w:eastAsia="zh-CN"/>
        </w:rPr>
        <w:t>预防</w:t>
      </w:r>
      <w:r>
        <w:rPr>
          <w:rFonts w:hint="eastAsia" w:ascii="宋体" w:hAnsi="宋体" w:eastAsia="宋体" w:cs="宋体"/>
          <w:color w:val="auto"/>
          <w:szCs w:val="21"/>
          <w:highlight w:val="none"/>
        </w:rPr>
        <w:t>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台风、暴雨应急预案（投标人详尽阐述台风、暴雨应急措施，确保在面对自然灾害时能够迅速响应，有效防范，保障人员和财产安全）；冰雹天气应急预案（投标人详尽阐述冰雹天气应急预案，以确保在极端气候条件下，能够迅速采取行动，最大限度地保护人员安全与财产安全）等；</w:t>
      </w:r>
    </w:p>
    <w:p w14:paraId="71CBF453">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文明城市及大型检查应急措施预案（投标人详尽阐述文明城市及大型检查应急措施预案，其中参观、采访、迎接上级检查应急预案体现会前准备工作、会务安全保障、会议工作的安排、会议接待的保密工作等，确保各项活动的顺利进行与信息安全）。</w:t>
      </w:r>
    </w:p>
    <w:p w14:paraId="05AAC7D3">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投标人具备应对安全事故处理的应急保障能力，建立健全的安全事故处理方案，体现人身意外伤害赔偿项目和标准、员工意外伤害事故处理办法、配备员工意外伤害事故报告表、工伤赔偿管理办法、工伤法律规定及赔偿流程、确保在面对安全事故时能够迅速、公正、有效地应对。其内容包括但不限于意外伤害赔偿措施、工伤赔偿措施、风险规避措施等。若因投标人管理不善导致采购人、中标人工作人员、服务对象、设备或对社会造成损害，投标人须承担全部责任。</w:t>
      </w:r>
    </w:p>
    <w:p w14:paraId="36A7C440">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投标人具备人员培训能力，建立健全的培训方案，有完善的不同岗位（不含管理人员岗位）培训计划（内容包括但不限于基础、熟悉工作环境、通讯设备使用要求、岗位要求、安全要求、应急响应、岗位技能等），培训计划中岗位技能、应急响应、安全要求、岗位要求等培训频次，每月不少于1次，其内容包括但不限于管理人员培训计划，普通一线员工的工作培训流程、培训形式、培训方法、效果评估、培训考核、自主研发线上学习培训系统等。</w:t>
      </w:r>
    </w:p>
    <w:p w14:paraId="3B83024E">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投标人档案资料需完整无缺，建立健全的档案管理方案，其内容包括但不限于档案资料收集、保存、电子档案管理等。管理过程需有清晰的记录，并及时归档。档案管理必须满足三级甲等医院在各类评审、评估及检查中的要求。</w:t>
      </w:r>
    </w:p>
    <w:p w14:paraId="33F18BC6">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投标人具备确保员工团队稳定性的能力，建立完善的员工队伍稳定方案。通过激发内部竞争活力、实施人文关怀等措施，有效促进员工队伍的稳固与发展。对于所有拟上岗员工及特种专业岗位人员，定期开展专业的业务培训，确保培训合格后方可正式上岗。其内容包含但不限于内部竞聘、人文关怀、培训考核等。</w:t>
      </w:r>
    </w:p>
    <w:p w14:paraId="2523D068">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投标人需在进驻与撤离过程中，对意外事件具备迅速响应和有效处理的应急能力。建立健全的进退场方案，妥善安排人员交接，具备应对交接过程中可能发生的突发事件的应变能力。人事劳资关系小组提前30天启动准备，正常工作接管小组提前15天着手准备工作，物资交接小组则于提前7天开始筹备，无缝衔接、高效运转的交接。其内容包括但不限于进场方案、初始化管理计划、退场方案、人员交接安排、交接中突发事件应对措施等。</w:t>
      </w:r>
    </w:p>
    <w:p w14:paraId="7197167B">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投标人具有标准化实施能力，通过精细化的标准化管理手段，对医院后勤服务运营流程进行优化，提高整体运营效率和患者满意度。通过制定统一的操作规范和标准作业流程，确保医院后勤服务在安全性、稳定性和可靠性方面达到标准。</w:t>
      </w:r>
    </w:p>
    <w:p w14:paraId="56306A69">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、投标人应按招标文件岗位设置不低于</w:t>
      </w:r>
      <w:r>
        <w:rPr>
          <w:rFonts w:hint="eastAsia" w:ascii="宋体" w:hAnsi="宋体" w:cs="宋体"/>
          <w:color w:val="auto"/>
          <w:szCs w:val="21"/>
          <w:highlight w:val="none"/>
          <w:lang w:val="en-US" w:eastAsia="zh-CN"/>
        </w:rPr>
        <w:t>39</w:t>
      </w:r>
      <w:r>
        <w:rPr>
          <w:rFonts w:hint="eastAsia" w:ascii="宋体" w:hAnsi="宋体" w:eastAsia="宋体" w:cs="宋体"/>
          <w:color w:val="auto"/>
          <w:szCs w:val="21"/>
          <w:highlight w:val="none"/>
        </w:rPr>
        <w:t>人的要求，合理科学地配备管理及服务人员，依法建立劳动关系，工作时间符合劳动法规定。投标人按时发放薪酬，并且具备当月工资的支付能力。</w:t>
      </w:r>
    </w:p>
    <w:p w14:paraId="3494B7C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（二）具体职责及相关要求</w:t>
      </w:r>
    </w:p>
    <w:p w14:paraId="7AA4161A">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1、运送</w:t>
      </w:r>
    </w:p>
    <w:p w14:paraId="31F0BEC8">
      <w:pPr>
        <w:pageBreakBefore w:val="0"/>
        <w:widowControl w:val="0"/>
        <w:kinsoku/>
        <w:wordWrap/>
        <w:overflowPunct/>
        <w:topLinePunct w:val="0"/>
        <w:autoSpaceDE/>
        <w:autoSpaceDN/>
        <w:bidi w:val="0"/>
        <w:snapToGrid w:val="0"/>
        <w:spacing w:line="336" w:lineRule="auto"/>
        <w:ind w:firstLine="422" w:firstLineChars="200"/>
        <w:textAlignment w:val="auto"/>
        <w:rPr>
          <w:rFonts w:ascii="宋体" w:hAnsi="宋体" w:cs="宋体"/>
          <w:color w:val="auto"/>
          <w:szCs w:val="21"/>
          <w:highlight w:val="none"/>
        </w:rPr>
      </w:pPr>
      <w:r>
        <w:rPr>
          <w:rFonts w:hint="eastAsia" w:ascii="宋体" w:hAnsi="宋体" w:cs="宋体"/>
          <w:b/>
          <w:color w:val="auto"/>
          <w:szCs w:val="21"/>
          <w:highlight w:val="none"/>
        </w:rPr>
        <w:t>（1）总体要求</w:t>
      </w:r>
    </w:p>
    <w:p w14:paraId="32512410">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1）负责院区内的</w:t>
      </w:r>
      <w:r>
        <w:rPr>
          <w:rFonts w:hint="eastAsia" w:ascii="宋体" w:hAnsi="宋体" w:cs="宋体"/>
          <w:color w:val="auto"/>
          <w:szCs w:val="21"/>
          <w:highlight w:val="none"/>
          <w:lang w:val="en-US" w:eastAsia="zh-CN"/>
        </w:rPr>
        <w:t>检验</w:t>
      </w:r>
      <w:r>
        <w:rPr>
          <w:rFonts w:hint="eastAsia" w:ascii="宋体" w:hAnsi="宋体" w:cs="宋体"/>
          <w:color w:val="auto"/>
          <w:szCs w:val="21"/>
          <w:highlight w:val="none"/>
        </w:rPr>
        <w:t>标本运</w:t>
      </w:r>
      <w:r>
        <w:rPr>
          <w:rFonts w:hint="eastAsia" w:ascii="宋体" w:hAnsi="宋体" w:cs="宋体"/>
          <w:color w:val="auto"/>
          <w:szCs w:val="21"/>
          <w:highlight w:val="none"/>
          <w:lang w:val="en-US" w:eastAsia="zh-CN"/>
        </w:rPr>
        <w:t>送</w:t>
      </w:r>
      <w:r>
        <w:rPr>
          <w:rFonts w:hint="eastAsia" w:ascii="宋体" w:hAnsi="宋体" w:cs="宋体"/>
          <w:color w:val="auto"/>
          <w:szCs w:val="21"/>
          <w:highlight w:val="none"/>
        </w:rPr>
        <w:t>工作</w:t>
      </w:r>
      <w:r>
        <w:rPr>
          <w:rFonts w:hint="eastAsia" w:ascii="宋体" w:hAnsi="宋体" w:cs="宋体"/>
          <w:color w:val="auto"/>
          <w:szCs w:val="21"/>
          <w:highlight w:val="none"/>
          <w:lang w:val="en-US" w:eastAsia="zh-CN"/>
        </w:rPr>
        <w:t>及报纸的发放</w:t>
      </w:r>
      <w:r>
        <w:rPr>
          <w:rFonts w:hint="eastAsia" w:ascii="宋体" w:hAnsi="宋体" w:cs="宋体"/>
          <w:color w:val="auto"/>
          <w:szCs w:val="21"/>
          <w:highlight w:val="none"/>
        </w:rPr>
        <w:t>。</w:t>
      </w:r>
    </w:p>
    <w:p w14:paraId="6070D9CC">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2）根据医院的具体布局，设置运送岗位。</w:t>
      </w:r>
    </w:p>
    <w:p w14:paraId="115BEB47">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3）所有运送人员接受</w:t>
      </w:r>
      <w:r>
        <w:rPr>
          <w:rFonts w:hint="eastAsia" w:ascii="宋体" w:hAnsi="宋体" w:cs="宋体"/>
          <w:color w:val="auto"/>
          <w:szCs w:val="21"/>
          <w:highlight w:val="none"/>
          <w:lang w:val="en-US" w:eastAsia="zh-CN"/>
        </w:rPr>
        <w:t>运送</w:t>
      </w:r>
      <w:r>
        <w:rPr>
          <w:rFonts w:hint="eastAsia" w:ascii="宋体" w:hAnsi="宋体" w:cs="宋体"/>
          <w:color w:val="auto"/>
          <w:szCs w:val="21"/>
          <w:highlight w:val="none"/>
        </w:rPr>
        <w:t>规范、转运工具使用方法以及</w:t>
      </w:r>
      <w:r>
        <w:rPr>
          <w:rFonts w:hint="eastAsia" w:ascii="宋体" w:hAnsi="宋体" w:cs="宋体"/>
          <w:color w:val="auto"/>
          <w:szCs w:val="21"/>
          <w:highlight w:val="none"/>
          <w:lang w:val="en-US" w:eastAsia="zh-CN"/>
        </w:rPr>
        <w:t>运送</w:t>
      </w:r>
      <w:r>
        <w:rPr>
          <w:rFonts w:hint="eastAsia" w:ascii="宋体" w:hAnsi="宋体" w:cs="宋体"/>
          <w:color w:val="auto"/>
          <w:szCs w:val="21"/>
          <w:highlight w:val="none"/>
        </w:rPr>
        <w:t>安全知识的培训，掌握突发事件处理预案。运送工具每天进行</w:t>
      </w:r>
      <w:r>
        <w:rPr>
          <w:rFonts w:hint="eastAsia" w:ascii="宋体" w:hAnsi="宋体" w:cs="宋体"/>
          <w:color w:val="auto"/>
          <w:szCs w:val="21"/>
          <w:highlight w:val="none"/>
          <w:lang w:val="en-US" w:eastAsia="zh-CN"/>
        </w:rPr>
        <w:t>清洁、消毒</w:t>
      </w:r>
      <w:r>
        <w:rPr>
          <w:rFonts w:hint="eastAsia" w:ascii="宋体" w:hAnsi="宋体" w:cs="宋体"/>
          <w:color w:val="auto"/>
          <w:szCs w:val="21"/>
          <w:highlight w:val="none"/>
        </w:rPr>
        <w:t>。</w:t>
      </w:r>
    </w:p>
    <w:p w14:paraId="338D46C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）所有人员需经过文明用语、规范服务等培训，在运送过程中严禁发生争吵、打闹等影响医院形象的言行举止。</w:t>
      </w:r>
    </w:p>
    <w:p w14:paraId="77AECFAB">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）熟练掌握医院标本等运</w:t>
      </w:r>
      <w:r>
        <w:rPr>
          <w:rFonts w:hint="eastAsia" w:ascii="宋体" w:hAnsi="宋体" w:cs="宋体"/>
          <w:color w:val="auto"/>
          <w:szCs w:val="21"/>
          <w:highlight w:val="none"/>
          <w:lang w:val="en-US" w:eastAsia="zh-CN"/>
        </w:rPr>
        <w:t>送</w:t>
      </w:r>
      <w:r>
        <w:rPr>
          <w:rFonts w:hint="eastAsia" w:ascii="宋体" w:hAnsi="宋体" w:cs="宋体"/>
          <w:color w:val="auto"/>
          <w:szCs w:val="21"/>
          <w:highlight w:val="none"/>
        </w:rPr>
        <w:t>流程，严格执行查对制度和交接制度。</w:t>
      </w:r>
    </w:p>
    <w:p w14:paraId="62AA0A84">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项目管理人员</w:t>
      </w:r>
      <w:r>
        <w:rPr>
          <w:rFonts w:hint="eastAsia" w:ascii="宋体" w:hAnsi="宋体" w:cs="宋体"/>
          <w:color w:val="auto"/>
          <w:szCs w:val="21"/>
          <w:highlight w:val="none"/>
        </w:rPr>
        <w:t>需定期调研临床工作的需求，不断修订和完善相关流程和服务内容。</w:t>
      </w:r>
    </w:p>
    <w:p w14:paraId="3309593F">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）医疗</w:t>
      </w:r>
      <w:r>
        <w:rPr>
          <w:rFonts w:hint="eastAsia" w:ascii="宋体" w:hAnsi="宋体" w:cs="宋体"/>
          <w:color w:val="auto"/>
          <w:szCs w:val="21"/>
          <w:highlight w:val="none"/>
          <w:lang w:val="en-US" w:eastAsia="zh-CN"/>
        </w:rPr>
        <w:t>病历每天及时运送到病案室</w:t>
      </w:r>
      <w:r>
        <w:rPr>
          <w:rFonts w:hint="eastAsia" w:ascii="宋体" w:hAnsi="宋体" w:cs="宋体"/>
          <w:color w:val="auto"/>
          <w:szCs w:val="21"/>
          <w:highlight w:val="none"/>
        </w:rPr>
        <w:t>。</w:t>
      </w:r>
    </w:p>
    <w:p w14:paraId="0408A519">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）所有运送人员不得私自、拿变卖药品、物品，在工作期间不可从事工作职责以外并收取报酬的其他服务。</w:t>
      </w:r>
    </w:p>
    <w:p w14:paraId="74594D41">
      <w:pPr>
        <w:pageBreakBefore w:val="0"/>
        <w:widowControl w:val="0"/>
        <w:kinsoku/>
        <w:wordWrap/>
        <w:overflowPunct/>
        <w:topLinePunct w:val="0"/>
        <w:autoSpaceDE/>
        <w:autoSpaceDN/>
        <w:bidi w:val="0"/>
        <w:snapToGrid w:val="0"/>
        <w:spacing w:line="336" w:lineRule="auto"/>
        <w:ind w:firstLine="422" w:firstLineChars="200"/>
        <w:textAlignment w:val="auto"/>
        <w:rPr>
          <w:rFonts w:ascii="宋体" w:hAnsi="宋体" w:cs="宋体"/>
          <w:color w:val="auto"/>
          <w:szCs w:val="21"/>
          <w:highlight w:val="none"/>
        </w:rPr>
      </w:pPr>
      <w:r>
        <w:rPr>
          <w:rFonts w:hint="eastAsia" w:ascii="宋体" w:hAnsi="宋体" w:cs="宋体"/>
          <w:b/>
          <w:color w:val="auto"/>
          <w:szCs w:val="21"/>
          <w:highlight w:val="none"/>
        </w:rPr>
        <w:t>（2）具体要求</w:t>
      </w:r>
    </w:p>
    <w:p w14:paraId="2BC20440">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标本送检：负责全院所有的血标本、大便标本、尿标本、痰培养、病理标本、脑脊液、胸腔积液、血袋等各类标本及时、准确地收送，做好登记记录工作，确保数量准确。标本要按照相关规定运送，使用符合要求的运送标本箱。各病区早间首批标本须在每日7:00-8:30之间送达检验科；零星普通标本循环频率至少1次/小时；急查标本须在15分钟内到达申请科室。</w:t>
      </w:r>
    </w:p>
    <w:p w14:paraId="35A45109">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）资料递送：各类诊断报告送取；病历递送、各类行政文书递送；取送科室报刊信件等。</w:t>
      </w:r>
    </w:p>
    <w:p w14:paraId="76444EB2">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、消毒</w:t>
      </w:r>
    </w:p>
    <w:p w14:paraId="62B7D8CF">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(1)做好床单元终末处理：包括吊塔、床头柜、病床、床垫等床单元清洁消毒；</w:t>
      </w:r>
    </w:p>
    <w:p w14:paraId="43DCE000">
      <w:pPr>
        <w:pageBreakBefore w:val="0"/>
        <w:widowControl w:val="0"/>
        <w:kinsoku/>
        <w:wordWrap/>
        <w:overflowPunct/>
        <w:topLinePunct w:val="0"/>
        <w:autoSpaceDE/>
        <w:autoSpaceDN/>
        <w:bidi w:val="0"/>
        <w:snapToGrid w:val="0"/>
        <w:spacing w:line="336" w:lineRule="auto"/>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做好病房一桌一巾消毒工作，预防交叉感染；</w:t>
      </w:r>
    </w:p>
    <w:p w14:paraId="33B564D7">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)掌握消毒隔离知识，负责消毒液的配制与使用，掌握手的清洗消毒方法，做好手卫生；</w:t>
      </w:r>
    </w:p>
    <w:p w14:paraId="6B74E00F">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)做好处置室、治疗室的擦拭消毒、空气消毒；更衣室、值班室、洗澡间的清洁消毒；</w:t>
      </w:r>
    </w:p>
    <w:p w14:paraId="224D3777">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)做好门把手、开关、水龙头等消毒工作；</w:t>
      </w:r>
    </w:p>
    <w:p w14:paraId="2093E77C">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)负责手术室的</w:t>
      </w:r>
      <w:r>
        <w:rPr>
          <w:rFonts w:hint="eastAsia" w:ascii="宋体" w:hAnsi="宋体" w:cs="宋体"/>
          <w:color w:val="auto"/>
          <w:szCs w:val="21"/>
          <w:highlight w:val="none"/>
          <w:lang w:val="en-US" w:eastAsia="zh-CN"/>
        </w:rPr>
        <w:t>手术后</w:t>
      </w:r>
      <w:r>
        <w:rPr>
          <w:rFonts w:hint="eastAsia" w:ascii="宋体" w:hAnsi="宋体" w:cs="宋体"/>
          <w:color w:val="auto"/>
          <w:szCs w:val="21"/>
          <w:highlight w:val="none"/>
        </w:rPr>
        <w:t>消毒工作；</w:t>
      </w:r>
    </w:p>
    <w:p w14:paraId="7D0BBB34">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(7)做好清洁消毒记录等；</w:t>
      </w:r>
    </w:p>
    <w:p w14:paraId="05C7308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)协助做好院感的防控工作。</w:t>
      </w:r>
    </w:p>
    <w:p w14:paraId="42AC78F1">
      <w:pPr>
        <w:spacing w:line="360" w:lineRule="auto"/>
        <w:ind w:firstLine="42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3、安保</w:t>
      </w:r>
    </w:p>
    <w:p w14:paraId="1ACCE3EA">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负责</w:t>
      </w:r>
      <w:r>
        <w:rPr>
          <w:rFonts w:hint="eastAsia" w:ascii="宋体" w:hAnsi="宋体" w:cs="宋体"/>
          <w:color w:val="auto"/>
          <w:szCs w:val="21"/>
          <w:highlight w:val="none"/>
          <w:lang w:val="en-US" w:eastAsia="zh-CN"/>
        </w:rPr>
        <w:t>院内及</w:t>
      </w:r>
      <w:r>
        <w:rPr>
          <w:rFonts w:hint="eastAsia" w:ascii="宋体" w:hAnsi="宋体" w:cs="宋体"/>
          <w:color w:val="auto"/>
          <w:szCs w:val="21"/>
          <w:highlight w:val="none"/>
        </w:rPr>
        <w:t>采购人指定区域等安全保卫工作。</w:t>
      </w:r>
    </w:p>
    <w:p w14:paraId="641D525B">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（1）安全保卫</w:t>
      </w:r>
    </w:p>
    <w:p w14:paraId="5ED1F17C">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1)相关工作人员持证上岗；</w:t>
      </w:r>
    </w:p>
    <w:p w14:paraId="5CFF243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2)实行24小时值班及巡逻，禁止闲杂人员进入管辖区域；</w:t>
      </w:r>
    </w:p>
    <w:p w14:paraId="412E0682">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3)维护管理区域内人身财产安全；协助医院消防安全</w:t>
      </w:r>
      <w:r>
        <w:rPr>
          <w:rFonts w:hint="eastAsia" w:ascii="宋体" w:hAnsi="宋体" w:cs="宋体"/>
          <w:color w:val="auto"/>
          <w:szCs w:val="21"/>
          <w:highlight w:val="none"/>
          <w:lang w:eastAsia="zh-CN"/>
        </w:rPr>
        <w:t>；</w:t>
      </w:r>
      <w:r>
        <w:rPr>
          <w:rFonts w:hint="eastAsia" w:ascii="宋体" w:hAnsi="宋体" w:cs="宋体"/>
          <w:color w:val="auto"/>
          <w:szCs w:val="21"/>
          <w:highlight w:val="none"/>
        </w:rPr>
        <w:t>安全保卫；</w:t>
      </w:r>
    </w:p>
    <w:p w14:paraId="17470979">
      <w:pPr>
        <w:pageBreakBefore w:val="0"/>
        <w:widowControl w:val="0"/>
        <w:kinsoku/>
        <w:wordWrap/>
        <w:overflowPunct/>
        <w:topLinePunct w:val="0"/>
        <w:autoSpaceDE/>
        <w:autoSpaceDN/>
        <w:bidi w:val="0"/>
        <w:snapToGrid w:val="0"/>
        <w:spacing w:line="336"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协助</w:t>
      </w:r>
      <w:r>
        <w:rPr>
          <w:rFonts w:hint="eastAsia" w:ascii="宋体" w:hAnsi="宋体" w:cs="宋体"/>
          <w:color w:val="auto"/>
          <w:szCs w:val="21"/>
          <w:highlight w:val="none"/>
        </w:rPr>
        <w:t>院区内的</w:t>
      </w:r>
      <w:r>
        <w:rPr>
          <w:rFonts w:hint="eastAsia" w:ascii="宋体" w:hAnsi="宋体" w:cs="宋体"/>
          <w:color w:val="auto"/>
          <w:szCs w:val="21"/>
          <w:highlight w:val="none"/>
          <w:lang w:val="en-US" w:eastAsia="zh-CN"/>
        </w:rPr>
        <w:t>小型设备</w:t>
      </w:r>
      <w:r>
        <w:rPr>
          <w:rFonts w:hint="eastAsia" w:ascii="宋体" w:hAnsi="宋体" w:cs="宋体"/>
          <w:color w:val="auto"/>
          <w:szCs w:val="21"/>
          <w:highlight w:val="none"/>
        </w:rPr>
        <w:t>的</w:t>
      </w:r>
      <w:r>
        <w:rPr>
          <w:rFonts w:hint="eastAsia" w:ascii="宋体" w:hAnsi="宋体" w:cs="宋体"/>
          <w:color w:val="auto"/>
          <w:szCs w:val="21"/>
          <w:highlight w:val="none"/>
          <w:lang w:val="en-US" w:eastAsia="zh-CN"/>
        </w:rPr>
        <w:t>搬</w:t>
      </w:r>
      <w:r>
        <w:rPr>
          <w:rFonts w:hint="eastAsia" w:ascii="宋体" w:hAnsi="宋体" w:cs="宋体"/>
          <w:color w:val="auto"/>
          <w:szCs w:val="21"/>
          <w:highlight w:val="none"/>
        </w:rPr>
        <w:t>运工作</w:t>
      </w:r>
      <w:r>
        <w:rPr>
          <w:rFonts w:hint="eastAsia" w:ascii="宋体" w:hAnsi="宋体" w:cs="宋体"/>
          <w:color w:val="auto"/>
          <w:szCs w:val="21"/>
          <w:highlight w:val="none"/>
          <w:lang w:eastAsia="zh-CN"/>
        </w:rPr>
        <w:t>；</w:t>
      </w:r>
    </w:p>
    <w:p w14:paraId="45CB6B4B">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5)做好来院就诊特殊人群的爱心转运；</w:t>
      </w:r>
    </w:p>
    <w:p w14:paraId="113D92F7">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6)院内车辆以及院内与门前交通管理；驱赶门前流动商贩；</w:t>
      </w:r>
    </w:p>
    <w:p w14:paraId="04FF1E2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7)工作人员应服从医院的监督和管理；</w:t>
      </w:r>
    </w:p>
    <w:p w14:paraId="70D07D36">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8)具备一定的基础医学常识。协助医护人员处理突发事件，保障正常医疗工作秩序。</w:t>
      </w:r>
    </w:p>
    <w:p w14:paraId="10203C18">
      <w:pPr>
        <w:spacing w:line="360" w:lineRule="auto"/>
        <w:ind w:firstLine="422" w:firstLineChars="200"/>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4</w:t>
      </w:r>
      <w:r>
        <w:rPr>
          <w:rFonts w:hint="eastAsia" w:ascii="宋体" w:hAnsi="宋体" w:eastAsia="宋体" w:cs="宋体"/>
          <w:b/>
          <w:bCs/>
          <w:color w:val="auto"/>
          <w:highlight w:val="none"/>
          <w:lang w:val="en-US" w:eastAsia="zh-CN"/>
        </w:rPr>
        <w:t>、管理人员</w:t>
      </w:r>
    </w:p>
    <w:p w14:paraId="1C8E76CB">
      <w:pPr>
        <w:pageBreakBefore w:val="0"/>
        <w:widowControl w:val="0"/>
        <w:kinsoku/>
        <w:wordWrap/>
        <w:overflowPunct/>
        <w:topLinePunct w:val="0"/>
        <w:autoSpaceDE/>
        <w:autoSpaceDN/>
        <w:bidi w:val="0"/>
        <w:snapToGrid w:val="0"/>
        <w:spacing w:line="336" w:lineRule="auto"/>
        <w:ind w:firstLine="422" w:firstLineChars="200"/>
        <w:textAlignment w:val="auto"/>
        <w:rPr>
          <w:rFonts w:ascii="宋体" w:hAnsi="宋体" w:cs="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项目经理：</w:t>
      </w:r>
    </w:p>
    <w:p w14:paraId="6705FDFF">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1)全面负责医院后勤综合服务工作的管理；</w:t>
      </w:r>
    </w:p>
    <w:p w14:paraId="62B516B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2)熟悉相关法律法规，并能规范组织开展各项工作；</w:t>
      </w:r>
    </w:p>
    <w:p w14:paraId="136333EA">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3)及时处理各类事件（包括劳资纠纷、安全事件、投诉等）；</w:t>
      </w:r>
    </w:p>
    <w:p w14:paraId="44717689">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4)制订并不断完善、优化各项管理制度、标准、流程；</w:t>
      </w:r>
    </w:p>
    <w:p w14:paraId="3FDB17DB">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 xml:space="preserve">5)重视各类专业理论与操作技能的培训，定期组织各类应急预案演练，不断提高团队综合素质，提高工作效率；                                                                                                                                                                             </w:t>
      </w:r>
    </w:p>
    <w:p w14:paraId="19CA3E4B">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6)重视服务安全管理，杜绝不良事件/安全事件的发生；</w:t>
      </w:r>
    </w:p>
    <w:p w14:paraId="318321C3">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7)创新管理模式，实现网格化管理，提升管理效能；</w:t>
      </w:r>
    </w:p>
    <w:p w14:paraId="67D80553">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8)积极配合医院工作或活动的顺利展开，如实向医院反馈工作中的各类问题；</w:t>
      </w:r>
    </w:p>
    <w:p w14:paraId="566F9D46">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9)每月进行一次服务质量工作报告，虚心接受监督、建议、评价，及时纠正存在的问题，实现服务质量不断提升；</w:t>
      </w:r>
    </w:p>
    <w:p w14:paraId="65D6E28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10)完成院方的各项指令性任务；</w:t>
      </w:r>
    </w:p>
    <w:p w14:paraId="38E4E7DE">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11)未经采购人批准，项目负责人不得更换。</w:t>
      </w:r>
    </w:p>
    <w:p w14:paraId="60FCB8F6">
      <w:pPr>
        <w:pageBreakBefore w:val="0"/>
        <w:widowControl w:val="0"/>
        <w:kinsoku/>
        <w:wordWrap/>
        <w:overflowPunct/>
        <w:topLinePunct w:val="0"/>
        <w:autoSpaceDE/>
        <w:autoSpaceDN/>
        <w:bidi w:val="0"/>
        <w:snapToGrid w:val="0"/>
        <w:spacing w:line="336" w:lineRule="auto"/>
        <w:ind w:firstLine="422" w:firstLineChars="200"/>
        <w:textAlignment w:val="auto"/>
        <w:rPr>
          <w:rFonts w:ascii="宋体" w:hAnsi="宋体" w:cs="宋体"/>
          <w:b/>
          <w:bCs/>
          <w:color w:val="auto"/>
          <w:szCs w:val="21"/>
          <w:highlight w:val="none"/>
        </w:rPr>
      </w:pPr>
      <w:r>
        <w:rPr>
          <w:rFonts w:ascii="宋体" w:hAnsi="宋体" w:cs="宋体"/>
          <w:b/>
          <w:bCs/>
          <w:color w:val="auto"/>
          <w:szCs w:val="21"/>
          <w:highlight w:val="none"/>
        </w:rPr>
        <w:t>(2)</w:t>
      </w:r>
      <w:r>
        <w:rPr>
          <w:rFonts w:hint="eastAsia" w:ascii="宋体" w:hAnsi="宋体" w:cs="宋体"/>
          <w:b/>
          <w:bCs/>
          <w:color w:val="auto"/>
          <w:szCs w:val="21"/>
          <w:highlight w:val="none"/>
          <w:lang w:val="en-US" w:eastAsia="zh-CN"/>
        </w:rPr>
        <w:t>项目管理人员</w:t>
      </w:r>
      <w:r>
        <w:rPr>
          <w:rFonts w:hint="eastAsia" w:ascii="宋体" w:hAnsi="宋体" w:cs="宋体"/>
          <w:b/>
          <w:bCs/>
          <w:color w:val="auto"/>
          <w:szCs w:val="21"/>
          <w:highlight w:val="none"/>
        </w:rPr>
        <w:t>：</w:t>
      </w:r>
    </w:p>
    <w:p w14:paraId="56A2F529">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1)负责运送、安保、</w:t>
      </w:r>
      <w:r>
        <w:rPr>
          <w:rFonts w:hint="eastAsia" w:ascii="宋体" w:hAnsi="宋体" w:cs="宋体"/>
          <w:color w:val="auto"/>
          <w:highlight w:val="none"/>
          <w:lang w:val="en-US" w:eastAsia="zh-CN"/>
        </w:rPr>
        <w:t>消毒</w:t>
      </w:r>
      <w:r>
        <w:rPr>
          <w:rFonts w:hint="eastAsia" w:ascii="宋体" w:hAnsi="宋体" w:cs="宋体"/>
          <w:color w:val="auto"/>
          <w:highlight w:val="none"/>
        </w:rPr>
        <w:t>以及其他医辅人员管理。</w:t>
      </w:r>
    </w:p>
    <w:p w14:paraId="33D76DF0">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2)每日巡查当班员工的仪容仪表、文明礼仪、工作质量及工作效率，并现场进行培训、及时整改和考核；</w:t>
      </w:r>
    </w:p>
    <w:p w14:paraId="3A14F8A9">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3)每日按规定的时间、方式召开员工例会；</w:t>
      </w:r>
    </w:p>
    <w:p w14:paraId="5A38E601">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4)对新员工和在职员工进行入职、转岗、技能提升培训，培训考核合格后方能上岗，对员工的应知应会、院感知识每月进行考核；</w:t>
      </w:r>
    </w:p>
    <w:p w14:paraId="05D7C037">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5)负责本管理区域及员工的安全管理；</w:t>
      </w:r>
    </w:p>
    <w:p w14:paraId="4549539E">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6)强化业务能力的管理（</w:t>
      </w:r>
      <w:r>
        <w:rPr>
          <w:rFonts w:hint="eastAsia" w:ascii="宋体" w:hAnsi="宋体" w:cs="宋体"/>
          <w:color w:val="auto"/>
          <w:highlight w:val="none"/>
          <w:lang w:val="en-US" w:eastAsia="zh-CN"/>
        </w:rPr>
        <w:t>运送</w:t>
      </w:r>
      <w:r>
        <w:rPr>
          <w:rFonts w:hint="eastAsia" w:ascii="宋体" w:hAnsi="宋体" w:cs="宋体"/>
          <w:color w:val="auto"/>
          <w:highlight w:val="none"/>
        </w:rPr>
        <w:t>、</w:t>
      </w:r>
      <w:r>
        <w:rPr>
          <w:rFonts w:hint="eastAsia" w:ascii="宋体" w:hAnsi="宋体" w:cs="宋体"/>
          <w:color w:val="auto"/>
          <w:highlight w:val="none"/>
          <w:lang w:val="en-US" w:eastAsia="zh-CN"/>
        </w:rPr>
        <w:t>消毒、安保、</w:t>
      </w:r>
      <w:r>
        <w:rPr>
          <w:rFonts w:hint="eastAsia" w:ascii="宋体" w:hAnsi="宋体" w:cs="宋体"/>
          <w:color w:val="auto"/>
          <w:highlight w:val="none"/>
        </w:rPr>
        <w:t>安全相关知识等）；</w:t>
      </w:r>
    </w:p>
    <w:p w14:paraId="3E7CBD8F">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highlight w:val="none"/>
        </w:rPr>
      </w:pPr>
      <w:r>
        <w:rPr>
          <w:rFonts w:hint="eastAsia" w:ascii="宋体" w:hAnsi="宋体" w:cs="宋体"/>
          <w:color w:val="auto"/>
          <w:highlight w:val="none"/>
        </w:rPr>
        <w:t>7)完成院方的指令性任务。</w:t>
      </w:r>
    </w:p>
    <w:p w14:paraId="5279AD9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（三）其他工作要求</w:t>
      </w:r>
    </w:p>
    <w:p w14:paraId="2591CCF5">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1、安全生产台账的建立与完善。严格按照采购人拟定的《医院后勤综合服务安全生产台账目录》进行收集整理资料，分项培训、检查和考核。</w:t>
      </w:r>
    </w:p>
    <w:p w14:paraId="5B6EE84C">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2、对于突发事件必须按照应急预案进行实施。</w:t>
      </w:r>
    </w:p>
    <w:p w14:paraId="70674DFF">
      <w:pPr>
        <w:rPr>
          <w:rFonts w:ascii="宋体" w:hAnsi="宋体" w:cs="宋体"/>
          <w:color w:val="auto"/>
          <w:highlight w:val="none"/>
        </w:rPr>
      </w:pPr>
      <w:r>
        <w:rPr>
          <w:rFonts w:hint="eastAsia" w:ascii="宋体" w:hAnsi="宋体" w:cs="宋体"/>
          <w:color w:val="auto"/>
          <w:highlight w:val="none"/>
        </w:rPr>
        <w:br w:type="page"/>
      </w:r>
    </w:p>
    <w:p w14:paraId="025E2C9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九、服务人员</w:t>
      </w:r>
    </w:p>
    <w:p w14:paraId="4C302AFC">
      <w:pPr>
        <w:spacing w:line="360" w:lineRule="auto"/>
        <w:ind w:firstLine="420"/>
        <w:rPr>
          <w:rFonts w:ascii="宋体" w:hAnsi="宋体" w:cs="宋体"/>
          <w:color w:val="auto"/>
          <w:highlight w:val="none"/>
        </w:rPr>
      </w:pPr>
      <w:r>
        <w:rPr>
          <w:rFonts w:hint="eastAsia" w:ascii="宋体" w:hAnsi="宋体" w:cs="宋体"/>
          <w:bCs/>
          <w:iCs/>
          <w:color w:val="auto"/>
          <w:szCs w:val="21"/>
          <w:highlight w:val="none"/>
        </w:rPr>
        <w:t>投标时，本项目服</w:t>
      </w:r>
      <w:r>
        <w:rPr>
          <w:rFonts w:hint="eastAsia" w:ascii="宋体" w:hAnsi="宋体" w:eastAsia="宋体" w:cs="宋体"/>
          <w:bCs/>
          <w:iCs/>
          <w:color w:val="auto"/>
          <w:szCs w:val="21"/>
          <w:highlight w:val="none"/>
        </w:rPr>
        <w:t>务人员不得少于</w:t>
      </w:r>
      <w:r>
        <w:rPr>
          <w:rFonts w:hint="eastAsia" w:ascii="宋体" w:hAnsi="宋体" w:cs="宋体"/>
          <w:bCs/>
          <w:iCs/>
          <w:color w:val="auto"/>
          <w:szCs w:val="21"/>
          <w:highlight w:val="none"/>
          <w:lang w:val="en-US" w:eastAsia="zh-CN"/>
        </w:rPr>
        <w:t>39</w:t>
      </w:r>
      <w:r>
        <w:rPr>
          <w:rFonts w:hint="eastAsia" w:ascii="宋体" w:hAnsi="宋体" w:eastAsia="宋体" w:cs="宋体"/>
          <w:bCs/>
          <w:iCs/>
          <w:color w:val="auto"/>
          <w:szCs w:val="21"/>
          <w:highlight w:val="none"/>
        </w:rPr>
        <w:t>人，投标时按</w:t>
      </w:r>
      <w:r>
        <w:rPr>
          <w:rFonts w:hint="eastAsia" w:ascii="宋体" w:hAnsi="宋体" w:cs="宋体"/>
          <w:bCs/>
          <w:iCs/>
          <w:color w:val="auto"/>
          <w:szCs w:val="21"/>
          <w:highlight w:val="none"/>
          <w:lang w:val="en-US" w:eastAsia="zh-CN"/>
        </w:rPr>
        <w:t>39</w:t>
      </w:r>
      <w:r>
        <w:rPr>
          <w:rFonts w:hint="eastAsia" w:ascii="宋体" w:hAnsi="宋体" w:eastAsia="宋体" w:cs="宋体"/>
          <w:bCs/>
          <w:iCs/>
          <w:color w:val="auto"/>
          <w:szCs w:val="21"/>
          <w:highlight w:val="none"/>
        </w:rPr>
        <w:t>人进行</w:t>
      </w:r>
      <w:r>
        <w:rPr>
          <w:rFonts w:hint="eastAsia" w:ascii="宋体" w:hAnsi="宋体" w:cs="宋体"/>
          <w:bCs/>
          <w:iCs/>
          <w:color w:val="auto"/>
          <w:szCs w:val="21"/>
          <w:highlight w:val="none"/>
        </w:rPr>
        <w:t>费用测算，具体详见人员配置表。</w:t>
      </w:r>
      <w:r>
        <w:rPr>
          <w:rFonts w:hint="eastAsia" w:ascii="宋体" w:hAnsi="宋体" w:cs="宋体"/>
          <w:iCs/>
          <w:color w:val="auto"/>
          <w:szCs w:val="21"/>
          <w:highlight w:val="none"/>
        </w:rPr>
        <w:t>投标人承诺中标后提供针对本项目整体管理、人员配置及岗位职责，责任区域及具体实施方案，方案全面、合理、可行，符合采购人需求。</w:t>
      </w:r>
    </w:p>
    <w:p w14:paraId="2717815D">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（一）人员要求</w:t>
      </w:r>
    </w:p>
    <w:p w14:paraId="20A665AD">
      <w:pPr>
        <w:pageBreakBefore w:val="0"/>
        <w:widowControl w:val="0"/>
        <w:kinsoku/>
        <w:wordWrap/>
        <w:overflowPunct/>
        <w:topLinePunct w:val="0"/>
        <w:autoSpaceDE/>
        <w:autoSpaceDN/>
        <w:bidi w:val="0"/>
        <w:snapToGrid w:val="0"/>
        <w:spacing w:line="336" w:lineRule="auto"/>
        <w:ind w:firstLine="422" w:firstLineChars="200"/>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1、管理人员要求</w:t>
      </w:r>
    </w:p>
    <w:p w14:paraId="35154F1D">
      <w:pPr>
        <w:adjustRightInd w:val="0"/>
        <w:snapToGrid w:val="0"/>
        <w:spacing w:line="360" w:lineRule="auto"/>
        <w:ind w:left="845" w:hanging="425"/>
        <w:rPr>
          <w:rFonts w:ascii="宋体" w:hAnsi="宋体" w:cs="宋体"/>
          <w:b/>
          <w:bCs/>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项目经理：</w:t>
      </w:r>
    </w:p>
    <w:p w14:paraId="45AB6EB8">
      <w:pPr>
        <w:adjustRightInd w:val="0"/>
        <w:snapToGrid w:val="0"/>
        <w:spacing w:line="360" w:lineRule="auto"/>
        <w:ind w:left="845" w:hanging="425"/>
        <w:rPr>
          <w:rFonts w:ascii="宋体" w:hAnsi="宋体" w:cs="宋体"/>
          <w:b/>
          <w:bCs/>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为投标人正式员工，男女不限，50周岁（含50周岁）及以下，大专及以上学历，</w:t>
      </w:r>
    </w:p>
    <w:p w14:paraId="2AEDBC4B">
      <w:pPr>
        <w:adjustRightInd w:val="0"/>
        <w:snapToGrid w:val="0"/>
        <w:spacing w:line="360" w:lineRule="auto"/>
        <w:rPr>
          <w:rFonts w:ascii="宋体" w:hAnsi="宋体" w:cs="宋体"/>
          <w:b/>
          <w:bCs/>
          <w:color w:val="auto"/>
          <w:szCs w:val="21"/>
          <w:highlight w:val="none"/>
        </w:rPr>
      </w:pPr>
      <w:r>
        <w:rPr>
          <w:rFonts w:hint="eastAsia" w:ascii="宋体" w:hAnsi="宋体" w:cs="宋体"/>
          <w:color w:val="auto"/>
          <w:szCs w:val="21"/>
          <w:highlight w:val="none"/>
        </w:rPr>
        <w:t>有类似本项目管理经验。</w:t>
      </w:r>
      <w:r>
        <w:rPr>
          <w:rFonts w:hint="eastAsia" w:ascii="宋体" w:hAnsi="宋体" w:cs="宋体"/>
          <w:b/>
          <w:bCs/>
          <w:color w:val="auto"/>
          <w:szCs w:val="21"/>
          <w:highlight w:val="none"/>
        </w:rPr>
        <w:t>（须提供身份证、学历证明、业主方开具的管理经验证明材料、任职期间的本项目服务合同以及投标人为其缴纳的近三个月内任意一个月带二维码核验的社保、医保缴纳证明材料</w:t>
      </w:r>
      <w:r>
        <w:rPr>
          <w:rFonts w:hint="eastAsia" w:asciiTheme="minorEastAsia" w:hAnsiTheme="minorEastAsia" w:eastAsiaTheme="minorEastAsia"/>
          <w:b/>
          <w:bCs/>
          <w:color w:val="auto"/>
          <w:kern w:val="2"/>
          <w:highlight w:val="none"/>
          <w:lang w:eastAsia="zh-CN"/>
        </w:rPr>
        <w:t>（</w:t>
      </w:r>
      <w:r>
        <w:rPr>
          <w:rFonts w:hint="eastAsia" w:asciiTheme="minorEastAsia" w:hAnsiTheme="minorEastAsia" w:eastAsiaTheme="minorEastAsia"/>
          <w:b/>
          <w:bCs/>
          <w:color w:val="auto"/>
          <w:kern w:val="2"/>
          <w:highlight w:val="none"/>
          <w:lang w:val="en-US" w:eastAsia="zh-CN"/>
        </w:rPr>
        <w:t>若人员已退休，须提供与投标单位尚在有效合约期的劳动关系证明</w:t>
      </w:r>
      <w:r>
        <w:rPr>
          <w:rFonts w:hint="eastAsia" w:asciiTheme="minorEastAsia" w:hAnsiTheme="minorEastAsia" w:eastAsiaTheme="minorEastAsia"/>
          <w:b/>
          <w:bCs/>
          <w:color w:val="auto"/>
          <w:kern w:val="2"/>
          <w:highlight w:val="none"/>
          <w:lang w:eastAsia="zh-CN"/>
        </w:rPr>
        <w:t>）</w:t>
      </w:r>
      <w:r>
        <w:rPr>
          <w:rFonts w:hint="eastAsia" w:ascii="宋体" w:hAnsi="宋体" w:cs="宋体"/>
          <w:b/>
          <w:bCs/>
          <w:color w:val="auto"/>
          <w:szCs w:val="21"/>
          <w:highlight w:val="none"/>
        </w:rPr>
        <w:t>扫描件）</w:t>
      </w:r>
    </w:p>
    <w:p w14:paraId="16AC5252">
      <w:pPr>
        <w:adjustRightInd w:val="0"/>
        <w:snapToGrid w:val="0"/>
        <w:spacing w:line="360" w:lineRule="auto"/>
        <w:ind w:left="845" w:hanging="4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(2)项目管理人员：</w:t>
      </w:r>
    </w:p>
    <w:p w14:paraId="3B0BFB75">
      <w:pPr>
        <w:adjustRightInd w:val="0"/>
        <w:snapToGrid w:val="0"/>
        <w:spacing w:line="360" w:lineRule="auto"/>
        <w:ind w:left="845" w:hanging="425"/>
        <w:rPr>
          <w:rFonts w:ascii="宋体" w:hAnsi="宋体" w:cs="宋体"/>
          <w:color w:val="auto"/>
          <w:highlight w:val="none"/>
        </w:rPr>
      </w:pPr>
      <w:r>
        <w:rPr>
          <w:rFonts w:ascii="宋体" w:hAnsi="宋体" w:cs="宋体"/>
          <w:color w:val="auto"/>
          <w:highlight w:val="none"/>
        </w:rPr>
        <w:t>1)</w:t>
      </w:r>
      <w:r>
        <w:rPr>
          <w:rFonts w:hint="eastAsia" w:ascii="宋体" w:hAnsi="宋体" w:cs="宋体"/>
          <w:color w:val="auto"/>
          <w:szCs w:val="21"/>
          <w:highlight w:val="none"/>
        </w:rPr>
        <w:t>为投标人正式员工，男女不限，年龄5</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周岁（含5</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周岁）及以下，大专及以上</w:t>
      </w:r>
    </w:p>
    <w:p w14:paraId="0866A7DD">
      <w:pPr>
        <w:adjustRightInd w:val="0"/>
        <w:snapToGrid w:val="0"/>
        <w:spacing w:line="360" w:lineRule="auto"/>
        <w:rPr>
          <w:rFonts w:ascii="宋体" w:hAnsi="宋体" w:cs="宋体"/>
          <w:color w:val="auto"/>
          <w:highlight w:val="none"/>
        </w:rPr>
      </w:pPr>
      <w:r>
        <w:rPr>
          <w:rFonts w:hint="eastAsia" w:ascii="宋体" w:hAnsi="宋体" w:cs="宋体"/>
          <w:color w:val="auto"/>
          <w:szCs w:val="21"/>
          <w:highlight w:val="none"/>
        </w:rPr>
        <w:t>学历，有类似本项目管理经验。（</w:t>
      </w:r>
      <w:r>
        <w:rPr>
          <w:rFonts w:hint="eastAsia" w:ascii="宋体" w:hAnsi="宋体" w:cs="宋体"/>
          <w:b/>
          <w:color w:val="auto"/>
          <w:szCs w:val="21"/>
          <w:highlight w:val="none"/>
        </w:rPr>
        <w:t>须提供身份证、学历证明、业主方开具的管理经验证明材料、任职期间的本项目服务合同以及投标人为其缴纳的</w:t>
      </w:r>
      <w:r>
        <w:rPr>
          <w:rFonts w:hint="eastAsia" w:ascii="宋体" w:hAnsi="宋体" w:cs="宋体"/>
          <w:b/>
          <w:bCs/>
          <w:color w:val="auto"/>
          <w:szCs w:val="21"/>
          <w:highlight w:val="none"/>
        </w:rPr>
        <w:t>近三个月内任意一个月带二维码核验的社保、医保缴纳证明材料</w:t>
      </w:r>
      <w:r>
        <w:rPr>
          <w:rFonts w:hint="eastAsia" w:asciiTheme="minorEastAsia" w:hAnsiTheme="minorEastAsia" w:eastAsiaTheme="minorEastAsia"/>
          <w:b/>
          <w:bCs/>
          <w:color w:val="auto"/>
          <w:kern w:val="2"/>
          <w:highlight w:val="none"/>
          <w:lang w:eastAsia="zh-CN"/>
        </w:rPr>
        <w:t>（</w:t>
      </w:r>
      <w:r>
        <w:rPr>
          <w:rFonts w:hint="eastAsia" w:asciiTheme="minorEastAsia" w:hAnsiTheme="minorEastAsia" w:eastAsiaTheme="minorEastAsia"/>
          <w:b/>
          <w:bCs/>
          <w:color w:val="auto"/>
          <w:kern w:val="2"/>
          <w:highlight w:val="none"/>
          <w:lang w:val="en-US" w:eastAsia="zh-CN"/>
        </w:rPr>
        <w:t>若人员已退休，须提供与投标单位尚在有效合约期的劳动关系证明</w:t>
      </w:r>
      <w:r>
        <w:rPr>
          <w:rFonts w:hint="eastAsia" w:asciiTheme="minorEastAsia" w:hAnsiTheme="minorEastAsia" w:eastAsiaTheme="minorEastAsia"/>
          <w:b/>
          <w:bCs/>
          <w:color w:val="auto"/>
          <w:kern w:val="2"/>
          <w:highlight w:val="none"/>
          <w:lang w:eastAsia="zh-CN"/>
        </w:rPr>
        <w:t>）</w:t>
      </w:r>
      <w:r>
        <w:rPr>
          <w:rFonts w:hint="eastAsia" w:ascii="宋体" w:hAnsi="宋体" w:cs="宋体"/>
          <w:b/>
          <w:bCs/>
          <w:color w:val="auto"/>
          <w:szCs w:val="21"/>
          <w:highlight w:val="none"/>
        </w:rPr>
        <w:t>扫描件</w:t>
      </w:r>
      <w:r>
        <w:rPr>
          <w:rFonts w:hint="eastAsia" w:ascii="宋体" w:hAnsi="宋体" w:cs="宋体"/>
          <w:color w:val="auto"/>
          <w:szCs w:val="21"/>
          <w:highlight w:val="none"/>
        </w:rPr>
        <w:t>）</w:t>
      </w:r>
    </w:p>
    <w:p w14:paraId="025A706D">
      <w:pPr>
        <w:adjustRightInd w:val="0"/>
        <w:snapToGrid w:val="0"/>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highlight w:val="none"/>
        </w:rPr>
        <w:t>2</w:t>
      </w:r>
      <w:r>
        <w:rPr>
          <w:rFonts w:hint="eastAsia"/>
          <w:color w:val="auto"/>
          <w:highlight w:val="none"/>
        </w:rPr>
        <w:t>其他人员：男女不限，年龄60周岁（含60周岁）以下，初中及以上文化。</w:t>
      </w:r>
    </w:p>
    <w:p w14:paraId="47A21A5C">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注：（1）以上所有人员要求身体健康。</w:t>
      </w:r>
    </w:p>
    <w:p w14:paraId="38C53979">
      <w:pPr>
        <w:adjustRightInd w:val="0"/>
        <w:snapToGrid w:val="0"/>
        <w:spacing w:line="360" w:lineRule="auto"/>
        <w:ind w:firstLine="420" w:firstLineChars="200"/>
        <w:rPr>
          <w:rFonts w:ascii="宋体" w:hAnsi="宋体" w:cs="宋体"/>
          <w:i/>
          <w:color w:val="auto"/>
          <w:szCs w:val="21"/>
          <w:highlight w:val="none"/>
          <w:u w:val="single"/>
        </w:rPr>
      </w:pPr>
      <w:r>
        <w:rPr>
          <w:rFonts w:hint="eastAsia" w:ascii="宋体" w:hAnsi="宋体" w:cs="宋体"/>
          <w:i/>
          <w:color w:val="auto"/>
          <w:szCs w:val="21"/>
          <w:highlight w:val="none"/>
          <w:u w:val="single"/>
        </w:rPr>
        <w:t>（2）国家法定节假日在岗人数不得低于</w:t>
      </w:r>
      <w:r>
        <w:rPr>
          <w:rFonts w:hint="eastAsia" w:ascii="宋体" w:hAnsi="宋体" w:cs="宋体"/>
          <w:i/>
          <w:color w:val="auto"/>
          <w:szCs w:val="21"/>
          <w:highlight w:val="none"/>
          <w:u w:val="single"/>
          <w:lang w:val="en-US" w:eastAsia="zh-CN"/>
        </w:rPr>
        <w:t>20</w:t>
      </w:r>
      <w:r>
        <w:rPr>
          <w:rFonts w:hint="eastAsia" w:ascii="宋体" w:hAnsi="宋体" w:cs="宋体"/>
          <w:i/>
          <w:color w:val="auto"/>
          <w:szCs w:val="21"/>
          <w:highlight w:val="none"/>
          <w:u w:val="single"/>
        </w:rPr>
        <w:t>人。</w:t>
      </w:r>
    </w:p>
    <w:p w14:paraId="4C2C3F2D">
      <w:pPr>
        <w:adjustRightInd w:val="0"/>
        <w:snapToGrid w:val="0"/>
        <w:spacing w:line="360" w:lineRule="auto"/>
        <w:ind w:firstLine="420" w:firstLineChars="200"/>
        <w:rPr>
          <w:rFonts w:ascii="宋体" w:hAnsi="宋体" w:cs="宋体"/>
          <w:i/>
          <w:color w:val="auto"/>
          <w:szCs w:val="21"/>
          <w:highlight w:val="none"/>
        </w:rPr>
      </w:pPr>
      <w:r>
        <w:rPr>
          <w:rFonts w:hint="eastAsia" w:ascii="宋体" w:hAnsi="宋体" w:cs="宋体"/>
          <w:i/>
          <w:color w:val="auto"/>
          <w:szCs w:val="21"/>
          <w:highlight w:val="none"/>
          <w:u w:val="single"/>
        </w:rPr>
        <w:t>（3）自中标通知书发出后，在采购人主持下，中标人与原服务公司确定交接日期，须在</w:t>
      </w:r>
      <w:r>
        <w:rPr>
          <w:rFonts w:hint="eastAsia" w:ascii="宋体" w:hAnsi="宋体" w:cs="宋体"/>
          <w:i/>
          <w:color w:val="auto"/>
          <w:szCs w:val="21"/>
          <w:highlight w:val="none"/>
          <w:u w:val="single"/>
          <w:lang w:val="en-US" w:eastAsia="zh-CN"/>
        </w:rPr>
        <w:t>30</w:t>
      </w:r>
      <w:r>
        <w:rPr>
          <w:rFonts w:hint="eastAsia" w:ascii="宋体" w:hAnsi="宋体" w:cs="宋体"/>
          <w:i/>
          <w:color w:val="auto"/>
          <w:szCs w:val="21"/>
          <w:highlight w:val="none"/>
          <w:u w:val="single"/>
        </w:rPr>
        <w:t>天内完成交接工作，</w:t>
      </w:r>
      <w:r>
        <w:rPr>
          <w:rFonts w:hint="eastAsia" w:ascii="宋体" w:hAnsi="宋体" w:cs="宋体"/>
          <w:i/>
          <w:color w:val="auto"/>
          <w:szCs w:val="21"/>
          <w:highlight w:val="none"/>
          <w:u w:val="single"/>
          <w:lang w:val="en-US" w:eastAsia="zh-CN"/>
        </w:rPr>
        <w:t>30</w:t>
      </w:r>
      <w:r>
        <w:rPr>
          <w:rFonts w:hint="eastAsia" w:ascii="宋体" w:hAnsi="宋体" w:cs="宋体"/>
          <w:i/>
          <w:color w:val="auto"/>
          <w:szCs w:val="21"/>
          <w:highlight w:val="none"/>
          <w:u w:val="single"/>
        </w:rPr>
        <w:t>天内所有人员全部到岗（提供承诺函），确保不影响采购人原有的医疗秩序。注：中标后中标人一旦出现未按承诺履行，将被视为不具有履行合同的能力。</w:t>
      </w:r>
      <w:r>
        <w:rPr>
          <w:rFonts w:hint="eastAsia" w:ascii="宋体" w:hAnsi="宋体" w:cs="宋体"/>
          <w:i/>
          <w:color w:val="auto"/>
          <w:szCs w:val="21"/>
          <w:highlight w:val="none"/>
        </w:rPr>
        <w:t xml:space="preserve"> </w:t>
      </w:r>
    </w:p>
    <w:p w14:paraId="04AF4652">
      <w:pPr>
        <w:adjustRightInd w:val="0"/>
        <w:snapToGrid w:val="0"/>
        <w:spacing w:line="360" w:lineRule="auto"/>
        <w:ind w:firstLine="420" w:firstLineChars="200"/>
        <w:rPr>
          <w:rFonts w:ascii="宋体" w:hAnsi="宋体" w:cs="宋体"/>
          <w:i/>
          <w:strike/>
          <w:color w:val="auto"/>
          <w:szCs w:val="21"/>
          <w:highlight w:val="none"/>
        </w:rPr>
      </w:pPr>
      <w:r>
        <w:rPr>
          <w:rFonts w:hint="eastAsia" w:ascii="宋体" w:hAnsi="宋体" w:cs="宋体"/>
          <w:i/>
          <w:color w:val="auto"/>
          <w:szCs w:val="21"/>
          <w:highlight w:val="none"/>
          <w:u w:val="single"/>
        </w:rPr>
        <w:t>（4）中标服务单位不得随意更换管理人员，实际到医院的管理人员必须是投标文件中拟定的管理人员，承包过程中不得更换及兼职其他项目。如需更换的，则必须征得采购人的同意，经试用符合要求方可更换。（提供承诺函）</w:t>
      </w:r>
    </w:p>
    <w:p w14:paraId="55A42C6C">
      <w:pPr>
        <w:adjustRightInd w:val="0"/>
        <w:snapToGrid w:val="0"/>
        <w:spacing w:line="360" w:lineRule="auto"/>
        <w:ind w:firstLine="420" w:firstLineChars="200"/>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5）中标人提供的所有材料，需真实有效。中标结果公示前，中标人须提供招标文件中要求的各类材料、证书、承诺函及人员花名册等原件，报采购人逐一核查材料的真实性，若经发现存在弄虚作假行为，采购人有权取消中标人中标资格，同时追究其法律赔偿责任。（提供承诺函）</w:t>
      </w:r>
    </w:p>
    <w:p w14:paraId="2F0FCA4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（6）注重服务人员的自身形象，确保服务人员上班统一着装制式制服、配饰。</w:t>
      </w:r>
    </w:p>
    <w:p w14:paraId="415A34E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（7）如有作业人员辞职、离岗或休假等事宜，需要及时补充同等数量的后备人员到采购人指定工作岗位。</w:t>
      </w:r>
    </w:p>
    <w:p w14:paraId="246B0A07">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（二）人员配置表</w:t>
      </w:r>
    </w:p>
    <w:p w14:paraId="2FBC10F5">
      <w:pPr>
        <w:adjustRightInd w:val="0"/>
        <w:snapToGrid w:val="0"/>
        <w:spacing w:line="360" w:lineRule="auto"/>
        <w:ind w:firstLine="422" w:firstLineChars="20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管理人员：本项目明确管理架构，项目经理1人、</w:t>
      </w:r>
      <w:r>
        <w:rPr>
          <w:rFonts w:hint="eastAsia" w:ascii="宋体" w:hAnsi="宋体" w:eastAsia="宋体" w:cs="宋体"/>
          <w:b/>
          <w:bCs/>
          <w:color w:val="auto"/>
          <w:szCs w:val="21"/>
          <w:highlight w:val="none"/>
          <w:lang w:val="en-US" w:eastAsia="zh-CN"/>
        </w:rPr>
        <w:t>项目管理人员</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rPr>
        <w:t>人，管理人员不超过</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rPr>
        <w:t>人</w:t>
      </w:r>
      <w:r>
        <w:rPr>
          <w:rFonts w:hint="eastAsia" w:ascii="宋体" w:hAnsi="宋体" w:eastAsia="宋体" w:cs="宋体"/>
          <w:b/>
          <w:bCs/>
          <w:color w:val="auto"/>
          <w:szCs w:val="21"/>
          <w:highlight w:val="none"/>
          <w:lang w:eastAsia="zh-CN"/>
        </w:rPr>
        <w:t>。</w:t>
      </w:r>
    </w:p>
    <w:tbl>
      <w:tblPr>
        <w:tblStyle w:val="38"/>
        <w:tblW w:w="8801" w:type="dxa"/>
        <w:tblInd w:w="96" w:type="dxa"/>
        <w:tblLayout w:type="autofit"/>
        <w:tblCellMar>
          <w:top w:w="0" w:type="dxa"/>
          <w:left w:w="108" w:type="dxa"/>
          <w:bottom w:w="0" w:type="dxa"/>
          <w:right w:w="108" w:type="dxa"/>
        </w:tblCellMar>
      </w:tblPr>
      <w:tblGrid>
        <w:gridCol w:w="550"/>
        <w:gridCol w:w="1152"/>
        <w:gridCol w:w="1792"/>
        <w:gridCol w:w="846"/>
        <w:gridCol w:w="2719"/>
        <w:gridCol w:w="1742"/>
      </w:tblGrid>
      <w:tr w14:paraId="63AF9829">
        <w:tblPrEx>
          <w:tblCellMar>
            <w:top w:w="0" w:type="dxa"/>
            <w:left w:w="108" w:type="dxa"/>
            <w:bottom w:w="0" w:type="dxa"/>
            <w:right w:w="108" w:type="dxa"/>
          </w:tblCellMar>
        </w:tblPrEx>
        <w:trPr>
          <w:trHeight w:val="534" w:hRule="atLeast"/>
        </w:trPr>
        <w:tc>
          <w:tcPr>
            <w:tcW w:w="8801" w:type="dxa"/>
            <w:gridSpan w:val="6"/>
            <w:tcBorders>
              <w:top w:val="single" w:color="000000" w:sz="4" w:space="0"/>
              <w:left w:val="single" w:color="000000" w:sz="4" w:space="0"/>
              <w:bottom w:val="single" w:color="000000" w:sz="4" w:space="0"/>
              <w:right w:val="single" w:color="000000" w:sz="4" w:space="0"/>
            </w:tcBorders>
            <w:noWrap/>
            <w:vAlign w:val="center"/>
          </w:tcPr>
          <w:p w14:paraId="30D6CA3E">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人员</w:t>
            </w:r>
            <w:r>
              <w:rPr>
                <w:rFonts w:hint="eastAsia" w:ascii="宋体" w:hAnsi="宋体" w:cs="宋体"/>
                <w:b/>
                <w:bCs/>
                <w:color w:val="auto"/>
                <w:sz w:val="21"/>
                <w:szCs w:val="21"/>
                <w:highlight w:val="none"/>
              </w:rPr>
              <w:t>配置表</w:t>
            </w:r>
          </w:p>
        </w:tc>
      </w:tr>
      <w:tr w14:paraId="098F20FB">
        <w:tblPrEx>
          <w:tblCellMar>
            <w:top w:w="0" w:type="dxa"/>
            <w:left w:w="108" w:type="dxa"/>
            <w:bottom w:w="0" w:type="dxa"/>
            <w:right w:w="108" w:type="dxa"/>
          </w:tblCellMar>
        </w:tblPrEx>
        <w:trPr>
          <w:trHeight w:val="800" w:hRule="atLeast"/>
        </w:trPr>
        <w:tc>
          <w:tcPr>
            <w:tcW w:w="550" w:type="dxa"/>
            <w:tcBorders>
              <w:top w:val="single" w:color="000000" w:sz="4" w:space="0"/>
              <w:left w:val="single" w:color="000000" w:sz="4" w:space="0"/>
              <w:bottom w:val="single" w:color="000000" w:sz="4" w:space="0"/>
              <w:right w:val="single" w:color="000000" w:sz="4" w:space="0"/>
            </w:tcBorders>
            <w:noWrap w:val="0"/>
            <w:vAlign w:val="center"/>
          </w:tcPr>
          <w:p w14:paraId="71178B85">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序号</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2A1EFECA">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服务区域</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2C4AE255">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岗位名称</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E4B4901">
            <w:pPr>
              <w:jc w:val="center"/>
              <w:rPr>
                <w:rFonts w:ascii="宋体" w:hAnsi="宋体" w:cs="宋体"/>
                <w:b/>
                <w:bCs/>
                <w:color w:val="auto"/>
                <w:sz w:val="21"/>
                <w:szCs w:val="21"/>
                <w:highlight w:val="none"/>
              </w:rPr>
            </w:pPr>
            <w:r>
              <w:rPr>
                <w:rStyle w:val="351"/>
                <w:rFonts w:hint="eastAsia" w:cs="宋体"/>
                <w:color w:val="auto"/>
                <w:sz w:val="21"/>
                <w:szCs w:val="21"/>
                <w:highlight w:val="none"/>
                <w:lang w:bidi="ar"/>
              </w:rPr>
              <w:t>人数</w:t>
            </w:r>
            <w:r>
              <w:rPr>
                <w:rStyle w:val="352"/>
                <w:rFonts w:hint="eastAsia" w:ascii="宋体" w:hAnsi="宋体" w:eastAsia="宋体" w:cs="宋体"/>
                <w:color w:val="auto"/>
                <w:sz w:val="21"/>
                <w:szCs w:val="21"/>
                <w:highlight w:val="none"/>
                <w:lang w:bidi="ar"/>
              </w:rPr>
              <w:t>（人）</w:t>
            </w:r>
          </w:p>
        </w:tc>
        <w:tc>
          <w:tcPr>
            <w:tcW w:w="2719" w:type="dxa"/>
            <w:tcBorders>
              <w:top w:val="single" w:color="000000" w:sz="4" w:space="0"/>
              <w:left w:val="single" w:color="000000" w:sz="4" w:space="0"/>
              <w:bottom w:val="single" w:color="000000" w:sz="4" w:space="0"/>
              <w:right w:val="single" w:color="000000" w:sz="4" w:space="0"/>
            </w:tcBorders>
            <w:noWrap/>
            <w:vAlign w:val="center"/>
          </w:tcPr>
          <w:p w14:paraId="6B77848C">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服务时间</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77546096">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服务性质</w:t>
            </w:r>
          </w:p>
        </w:tc>
      </w:tr>
      <w:tr w14:paraId="5B64C3AC">
        <w:tblPrEx>
          <w:tblCellMar>
            <w:top w:w="0" w:type="dxa"/>
            <w:left w:w="108" w:type="dxa"/>
            <w:bottom w:w="0" w:type="dxa"/>
            <w:right w:w="108" w:type="dxa"/>
          </w:tblCellMar>
        </w:tblPrEx>
        <w:trPr>
          <w:trHeight w:val="520" w:hRule="atLeast"/>
        </w:trPr>
        <w:tc>
          <w:tcPr>
            <w:tcW w:w="550" w:type="dxa"/>
            <w:vMerge w:val="restart"/>
            <w:tcBorders>
              <w:top w:val="single" w:color="000000" w:sz="4" w:space="0"/>
              <w:left w:val="single" w:color="000000" w:sz="4" w:space="0"/>
              <w:bottom w:val="single" w:color="000000" w:sz="4" w:space="0"/>
              <w:right w:val="single" w:color="000000" w:sz="4" w:space="0"/>
            </w:tcBorders>
            <w:noWrap w:val="0"/>
            <w:vAlign w:val="center"/>
          </w:tcPr>
          <w:p w14:paraId="7E2EF4B3">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1</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000F501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管理岗</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7116F008">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经理</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894ACC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bottom w:val="single" w:color="000000" w:sz="4" w:space="0"/>
              <w:right w:val="single" w:color="000000" w:sz="4" w:space="0"/>
            </w:tcBorders>
            <w:noWrap/>
            <w:vAlign w:val="center"/>
          </w:tcPr>
          <w:p w14:paraId="18178ED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45</w:t>
            </w:r>
            <w:r>
              <w:rPr>
                <w:rFonts w:hint="eastAsia" w:ascii="宋体" w:hAnsi="宋体" w:cs="宋体"/>
                <w:color w:val="auto"/>
                <w:sz w:val="21"/>
                <w:szCs w:val="21"/>
                <w:highlight w:val="none"/>
                <w:lang w:bidi="ar"/>
              </w:rPr>
              <w:t>-11:30/14:00-17:30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5BBF13D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全院辅医与物流服务管理</w:t>
            </w:r>
          </w:p>
        </w:tc>
      </w:tr>
      <w:tr w14:paraId="19C93200">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225A7A0A">
            <w:pPr>
              <w:jc w:val="center"/>
              <w:rPr>
                <w:rFonts w:hint="eastAsia" w:ascii="宋体" w:hAnsi="宋体" w:cs="宋体"/>
                <w:b/>
                <w:bCs/>
                <w:color w:val="auto"/>
                <w:sz w:val="21"/>
                <w:szCs w:val="21"/>
                <w:highlight w:val="none"/>
                <w:lang w:bidi="ar"/>
              </w:rPr>
            </w:pP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7AAC0211">
            <w:pPr>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bidi="ar"/>
              </w:rPr>
              <w:t>管理岗</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1F0824E3">
            <w:pPr>
              <w:ind w:firstLine="630" w:firstLineChars="300"/>
              <w:jc w:val="both"/>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行政</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87678EE">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bottom w:val="single" w:color="000000" w:sz="4" w:space="0"/>
              <w:right w:val="single" w:color="000000" w:sz="4" w:space="0"/>
            </w:tcBorders>
            <w:noWrap/>
            <w:vAlign w:val="center"/>
          </w:tcPr>
          <w:p w14:paraId="011B296C">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45</w:t>
            </w:r>
            <w:r>
              <w:rPr>
                <w:rFonts w:hint="eastAsia" w:ascii="宋体" w:hAnsi="宋体" w:cs="宋体"/>
                <w:color w:val="auto"/>
                <w:sz w:val="21"/>
                <w:szCs w:val="21"/>
                <w:highlight w:val="none"/>
                <w:lang w:bidi="ar"/>
              </w:rPr>
              <w:t>-11:30/14:00-17:30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E0D8108">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全院辅医与物流服务管理</w:t>
            </w:r>
          </w:p>
        </w:tc>
      </w:tr>
      <w:tr w14:paraId="150D98D0">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05E7C334">
            <w:pPr>
              <w:jc w:val="center"/>
              <w:rPr>
                <w:rFonts w:hint="eastAsia" w:ascii="宋体" w:hAnsi="宋体" w:cs="宋体"/>
                <w:b/>
                <w:bCs/>
                <w:color w:val="auto"/>
                <w:sz w:val="21"/>
                <w:szCs w:val="21"/>
                <w:highlight w:val="none"/>
                <w:lang w:bidi="ar"/>
              </w:rPr>
            </w:pP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16924CBA">
            <w:pPr>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bidi="ar"/>
              </w:rPr>
              <w:t>管理岗</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5DB6CD07">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管理人员</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BBF7B88">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2</w:t>
            </w:r>
          </w:p>
        </w:tc>
        <w:tc>
          <w:tcPr>
            <w:tcW w:w="2719" w:type="dxa"/>
            <w:tcBorders>
              <w:top w:val="single" w:color="000000" w:sz="4" w:space="0"/>
              <w:left w:val="single" w:color="000000" w:sz="4" w:space="0"/>
              <w:bottom w:val="single" w:color="000000" w:sz="4" w:space="0"/>
              <w:right w:val="single" w:color="000000" w:sz="4" w:space="0"/>
            </w:tcBorders>
            <w:noWrap/>
            <w:vAlign w:val="center"/>
          </w:tcPr>
          <w:p w14:paraId="3585AC40">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45</w:t>
            </w:r>
            <w:r>
              <w:rPr>
                <w:rFonts w:hint="eastAsia" w:ascii="宋体" w:hAnsi="宋体" w:cs="宋体"/>
                <w:color w:val="auto"/>
                <w:sz w:val="21"/>
                <w:szCs w:val="21"/>
                <w:highlight w:val="none"/>
                <w:lang w:bidi="ar"/>
              </w:rPr>
              <w:t>-11:30/14:00-17:30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735D9AAA">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全院辅医与物流服务管理</w:t>
            </w:r>
          </w:p>
        </w:tc>
      </w:tr>
      <w:tr w14:paraId="2DB40688">
        <w:tblPrEx>
          <w:tblCellMar>
            <w:top w:w="0" w:type="dxa"/>
            <w:left w:w="108" w:type="dxa"/>
            <w:bottom w:w="0" w:type="dxa"/>
            <w:right w:w="108" w:type="dxa"/>
          </w:tblCellMar>
        </w:tblPrEx>
        <w:trPr>
          <w:trHeight w:val="520" w:hRule="atLeast"/>
        </w:trPr>
        <w:tc>
          <w:tcPr>
            <w:tcW w:w="5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6146FB">
            <w:pPr>
              <w:jc w:val="center"/>
              <w:rPr>
                <w:rFonts w:ascii="宋体" w:hAnsi="宋体" w:cs="宋体"/>
                <w:b/>
                <w:bCs/>
                <w:color w:val="auto"/>
                <w:sz w:val="21"/>
                <w:szCs w:val="21"/>
                <w:highlight w:val="none"/>
              </w:rPr>
            </w:pPr>
          </w:p>
        </w:tc>
        <w:tc>
          <w:tcPr>
            <w:tcW w:w="2944" w:type="dxa"/>
            <w:gridSpan w:val="2"/>
            <w:tcBorders>
              <w:top w:val="single" w:color="000000" w:sz="4" w:space="0"/>
              <w:left w:val="single" w:color="000000" w:sz="4" w:space="0"/>
              <w:bottom w:val="single" w:color="000000" w:sz="4" w:space="0"/>
              <w:right w:val="single" w:color="000000" w:sz="4" w:space="0"/>
            </w:tcBorders>
            <w:noWrap w:val="0"/>
            <w:vAlign w:val="center"/>
          </w:tcPr>
          <w:p w14:paraId="3B188E02">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小计</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C12895E">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4</w:t>
            </w:r>
            <w:r>
              <w:rPr>
                <w:rFonts w:hint="eastAsia" w:ascii="宋体" w:hAnsi="宋体" w:cs="宋体"/>
                <w:b/>
                <w:bCs/>
                <w:color w:val="auto"/>
                <w:sz w:val="21"/>
                <w:szCs w:val="21"/>
                <w:highlight w:val="none"/>
                <w:lang w:bidi="ar"/>
              </w:rPr>
              <w:t>人</w:t>
            </w:r>
          </w:p>
        </w:tc>
      </w:tr>
      <w:tr w14:paraId="287724E2">
        <w:tblPrEx>
          <w:tblCellMar>
            <w:top w:w="0" w:type="dxa"/>
            <w:left w:w="108" w:type="dxa"/>
            <w:bottom w:w="0" w:type="dxa"/>
            <w:right w:w="108" w:type="dxa"/>
          </w:tblCellMar>
        </w:tblPrEx>
        <w:trPr>
          <w:trHeight w:val="720" w:hRule="atLeast"/>
        </w:trPr>
        <w:tc>
          <w:tcPr>
            <w:tcW w:w="550" w:type="dxa"/>
            <w:vMerge w:val="restart"/>
            <w:tcBorders>
              <w:top w:val="single" w:color="000000" w:sz="4" w:space="0"/>
              <w:left w:val="single" w:color="000000" w:sz="4" w:space="0"/>
              <w:bottom w:val="single" w:color="000000" w:sz="4" w:space="0"/>
              <w:right w:val="single" w:color="000000" w:sz="4" w:space="0"/>
            </w:tcBorders>
            <w:noWrap w:val="0"/>
            <w:vAlign w:val="center"/>
          </w:tcPr>
          <w:p w14:paraId="50ECCCA4">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0FCB26E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后勤岗位</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40C1F7F6">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氧气房</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6C90804">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0D4B3176">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7:45-11:45/14:00-17:30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96EF244">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氧气房</w:t>
            </w:r>
          </w:p>
        </w:tc>
      </w:tr>
      <w:tr w14:paraId="4FF7218E">
        <w:tblPrEx>
          <w:tblCellMar>
            <w:top w:w="0" w:type="dxa"/>
            <w:left w:w="108" w:type="dxa"/>
            <w:bottom w:w="0" w:type="dxa"/>
            <w:right w:w="108" w:type="dxa"/>
          </w:tblCellMar>
        </w:tblPrEx>
        <w:trPr>
          <w:trHeight w:val="520" w:hRule="atLeast"/>
        </w:trPr>
        <w:tc>
          <w:tcPr>
            <w:tcW w:w="5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419CAF">
            <w:pPr>
              <w:jc w:val="center"/>
              <w:rPr>
                <w:rFonts w:ascii="宋体" w:hAnsi="宋体" w:cs="宋体"/>
                <w:b/>
                <w:bCs/>
                <w:color w:val="auto"/>
                <w:sz w:val="21"/>
                <w:szCs w:val="21"/>
                <w:highlight w:val="none"/>
              </w:rPr>
            </w:pPr>
          </w:p>
        </w:tc>
        <w:tc>
          <w:tcPr>
            <w:tcW w:w="2944" w:type="dxa"/>
            <w:gridSpan w:val="2"/>
            <w:tcBorders>
              <w:top w:val="single" w:color="000000" w:sz="4" w:space="0"/>
              <w:left w:val="single" w:color="000000" w:sz="4" w:space="0"/>
              <w:bottom w:val="single" w:color="000000" w:sz="4" w:space="0"/>
              <w:right w:val="single" w:color="000000" w:sz="4" w:space="0"/>
            </w:tcBorders>
            <w:noWrap w:val="0"/>
            <w:vAlign w:val="center"/>
          </w:tcPr>
          <w:p w14:paraId="0CB5C42D">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小计</w:t>
            </w:r>
          </w:p>
        </w:tc>
        <w:tc>
          <w:tcPr>
            <w:tcW w:w="5307" w:type="dxa"/>
            <w:gridSpan w:val="3"/>
            <w:tcBorders>
              <w:top w:val="single" w:color="000000" w:sz="4" w:space="0"/>
              <w:left w:val="single" w:color="000000" w:sz="4" w:space="0"/>
              <w:bottom w:val="single" w:color="000000" w:sz="4" w:space="0"/>
              <w:right w:val="single" w:color="000000" w:sz="4" w:space="0"/>
            </w:tcBorders>
            <w:noWrap w:val="0"/>
            <w:vAlign w:val="center"/>
          </w:tcPr>
          <w:p w14:paraId="0C73EF3F">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1</w:t>
            </w:r>
            <w:r>
              <w:rPr>
                <w:rFonts w:hint="eastAsia" w:ascii="宋体" w:hAnsi="宋体" w:cs="宋体"/>
                <w:b/>
                <w:bCs/>
                <w:color w:val="auto"/>
                <w:sz w:val="21"/>
                <w:szCs w:val="21"/>
                <w:highlight w:val="none"/>
                <w:lang w:bidi="ar"/>
              </w:rPr>
              <w:t>人</w:t>
            </w:r>
          </w:p>
        </w:tc>
      </w:tr>
      <w:tr w14:paraId="640755D6">
        <w:tblPrEx>
          <w:tblCellMar>
            <w:top w:w="0" w:type="dxa"/>
            <w:left w:w="108" w:type="dxa"/>
            <w:bottom w:w="0" w:type="dxa"/>
            <w:right w:w="108" w:type="dxa"/>
          </w:tblCellMar>
        </w:tblPrEx>
        <w:trPr>
          <w:trHeight w:val="520" w:hRule="atLeast"/>
        </w:trPr>
        <w:tc>
          <w:tcPr>
            <w:tcW w:w="550" w:type="dxa"/>
            <w:vMerge w:val="restart"/>
            <w:tcBorders>
              <w:top w:val="single" w:color="000000" w:sz="4" w:space="0"/>
              <w:left w:val="single" w:color="000000" w:sz="4" w:space="0"/>
              <w:right w:val="single" w:color="000000" w:sz="4" w:space="0"/>
            </w:tcBorders>
            <w:noWrap w:val="0"/>
            <w:vAlign w:val="center"/>
          </w:tcPr>
          <w:p w14:paraId="556880C2">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3</w:t>
            </w:r>
          </w:p>
        </w:tc>
        <w:tc>
          <w:tcPr>
            <w:tcW w:w="1152" w:type="dxa"/>
            <w:vMerge w:val="restart"/>
            <w:tcBorders>
              <w:top w:val="single" w:color="000000" w:sz="4" w:space="0"/>
              <w:left w:val="single" w:color="000000" w:sz="4" w:space="0"/>
              <w:right w:val="single" w:color="000000" w:sz="4" w:space="0"/>
            </w:tcBorders>
            <w:noWrap w:val="0"/>
            <w:vAlign w:val="center"/>
          </w:tcPr>
          <w:p w14:paraId="61FA69AA">
            <w:pPr>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医疗秩序维护</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18DBCB43">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医院门岗</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CF05233">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2</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008582A1">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00</w:t>
            </w:r>
            <w:r>
              <w:rPr>
                <w:rFonts w:hint="eastAsia" w:ascii="宋体" w:hAnsi="宋体" w:cs="宋体"/>
                <w:color w:val="auto"/>
                <w:sz w:val="21"/>
                <w:szCs w:val="21"/>
                <w:highlight w:val="none"/>
                <w:lang w:bidi="ar"/>
              </w:rPr>
              <w:t>-11:45/14:00-17:30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0C7C905A">
            <w:pPr>
              <w:jc w:val="cente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大厅、急诊、</w:t>
            </w:r>
          </w:p>
          <w:p w14:paraId="14CC2586">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住院处</w:t>
            </w:r>
          </w:p>
        </w:tc>
      </w:tr>
      <w:tr w14:paraId="7106A943">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0FD26E65">
            <w:pPr>
              <w:jc w:val="center"/>
              <w:rPr>
                <w:rFonts w:hint="eastAsia" w:ascii="宋体" w:hAnsi="宋体" w:cs="宋体"/>
                <w:b/>
                <w:bCs/>
                <w:color w:val="auto"/>
                <w:sz w:val="21"/>
                <w:szCs w:val="21"/>
                <w:highlight w:val="none"/>
                <w:lang w:val="en-US" w:eastAsia="zh-CN"/>
              </w:rPr>
            </w:pPr>
          </w:p>
        </w:tc>
        <w:tc>
          <w:tcPr>
            <w:tcW w:w="1152" w:type="dxa"/>
            <w:vMerge w:val="continue"/>
            <w:tcBorders>
              <w:left w:val="single" w:color="000000" w:sz="4" w:space="0"/>
              <w:right w:val="single" w:color="000000" w:sz="4" w:space="0"/>
            </w:tcBorders>
            <w:noWrap w:val="0"/>
            <w:vAlign w:val="center"/>
          </w:tcPr>
          <w:p w14:paraId="7E55984F">
            <w:pPr>
              <w:jc w:val="center"/>
              <w:rPr>
                <w:rFonts w:hint="eastAsia" w:ascii="宋体" w:hAnsi="宋体" w:cs="宋体"/>
                <w:b/>
                <w:bCs/>
                <w:color w:val="auto"/>
                <w:sz w:val="21"/>
                <w:szCs w:val="21"/>
                <w:highlight w:val="none"/>
                <w:lang w:bidi="ar"/>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0E3C3027">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巡 逻</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2F9865A">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6</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5CFB6B35">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24小时</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1228EAB9">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24小时轮转</w:t>
            </w:r>
          </w:p>
        </w:tc>
      </w:tr>
      <w:tr w14:paraId="6A3927DB">
        <w:tblPrEx>
          <w:tblCellMar>
            <w:top w:w="0" w:type="dxa"/>
            <w:left w:w="108" w:type="dxa"/>
            <w:bottom w:w="0" w:type="dxa"/>
            <w:right w:w="108" w:type="dxa"/>
          </w:tblCellMar>
        </w:tblPrEx>
        <w:trPr>
          <w:trHeight w:val="520" w:hRule="atLeast"/>
        </w:trPr>
        <w:tc>
          <w:tcPr>
            <w:tcW w:w="550" w:type="dxa"/>
            <w:vMerge w:val="continue"/>
            <w:tcBorders>
              <w:left w:val="single" w:color="000000" w:sz="4" w:space="0"/>
              <w:bottom w:val="single" w:color="000000" w:sz="4" w:space="0"/>
              <w:right w:val="single" w:color="000000" w:sz="4" w:space="0"/>
            </w:tcBorders>
            <w:noWrap w:val="0"/>
            <w:vAlign w:val="center"/>
          </w:tcPr>
          <w:p w14:paraId="041848E4">
            <w:pPr>
              <w:jc w:val="center"/>
              <w:rPr>
                <w:rFonts w:hint="eastAsia" w:ascii="宋体" w:hAnsi="宋体" w:cs="宋体"/>
                <w:b/>
                <w:bCs/>
                <w:color w:val="auto"/>
                <w:sz w:val="21"/>
                <w:szCs w:val="21"/>
                <w:highlight w:val="none"/>
                <w:lang w:val="en-US" w:eastAsia="zh-CN"/>
              </w:rPr>
            </w:pPr>
          </w:p>
        </w:tc>
        <w:tc>
          <w:tcPr>
            <w:tcW w:w="1152" w:type="dxa"/>
            <w:vMerge w:val="continue"/>
            <w:tcBorders>
              <w:left w:val="single" w:color="000000" w:sz="4" w:space="0"/>
              <w:bottom w:val="single" w:color="000000" w:sz="4" w:space="0"/>
              <w:right w:val="single" w:color="000000" w:sz="4" w:space="0"/>
            </w:tcBorders>
            <w:noWrap w:val="0"/>
            <w:vAlign w:val="center"/>
          </w:tcPr>
          <w:p w14:paraId="25643018">
            <w:pPr>
              <w:jc w:val="center"/>
              <w:rPr>
                <w:rFonts w:hint="eastAsia" w:ascii="宋体" w:hAnsi="宋体" w:cs="宋体"/>
                <w:b/>
                <w:bCs/>
                <w:color w:val="auto"/>
                <w:sz w:val="21"/>
                <w:szCs w:val="21"/>
                <w:highlight w:val="none"/>
                <w:lang w:bidi="ar"/>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14B7F1C5">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车辆管理</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BFCAD8F">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2</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2F53A256">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00</w:t>
            </w:r>
            <w:r>
              <w:rPr>
                <w:rFonts w:hint="eastAsia" w:ascii="宋体" w:hAnsi="宋体" w:cs="宋体"/>
                <w:color w:val="auto"/>
                <w:sz w:val="21"/>
                <w:szCs w:val="21"/>
                <w:highlight w:val="none"/>
                <w:lang w:bidi="ar"/>
              </w:rPr>
              <w:t>-11:45/14:00-17:30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E102FA5">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停车场</w:t>
            </w:r>
          </w:p>
        </w:tc>
      </w:tr>
      <w:tr w14:paraId="61D4A9BB">
        <w:tblPrEx>
          <w:tblCellMar>
            <w:top w:w="0" w:type="dxa"/>
            <w:left w:w="108" w:type="dxa"/>
            <w:bottom w:w="0" w:type="dxa"/>
            <w:right w:w="108" w:type="dxa"/>
          </w:tblCellMar>
        </w:tblPrEx>
        <w:trPr>
          <w:trHeight w:val="520" w:hRule="atLeast"/>
        </w:trPr>
        <w:tc>
          <w:tcPr>
            <w:tcW w:w="550" w:type="dxa"/>
            <w:vMerge w:val="restart"/>
            <w:tcBorders>
              <w:top w:val="single" w:color="000000" w:sz="4" w:space="0"/>
              <w:left w:val="single" w:color="000000" w:sz="4" w:space="0"/>
              <w:right w:val="single" w:color="000000" w:sz="4" w:space="0"/>
            </w:tcBorders>
            <w:noWrap w:val="0"/>
            <w:vAlign w:val="center"/>
          </w:tcPr>
          <w:p w14:paraId="1F354D9B">
            <w:pPr>
              <w:jc w:val="center"/>
              <w:rPr>
                <w:rFonts w:hint="eastAsia" w:ascii="宋体" w:hAnsi="宋体" w:cs="宋体"/>
                <w:b/>
                <w:bCs/>
                <w:color w:val="auto"/>
                <w:sz w:val="21"/>
                <w:szCs w:val="21"/>
                <w:highlight w:val="none"/>
                <w:lang w:val="en-US" w:eastAsia="zh-CN"/>
              </w:rPr>
            </w:pPr>
          </w:p>
        </w:tc>
        <w:tc>
          <w:tcPr>
            <w:tcW w:w="1152" w:type="dxa"/>
            <w:tcBorders>
              <w:top w:val="single" w:color="000000" w:sz="4" w:space="0"/>
              <w:left w:val="single" w:color="000000" w:sz="4" w:space="0"/>
              <w:bottom w:val="single" w:color="000000" w:sz="4" w:space="0"/>
              <w:right w:val="single" w:color="000000" w:sz="4" w:space="0"/>
            </w:tcBorders>
            <w:noWrap w:val="0"/>
            <w:vAlign w:val="center"/>
          </w:tcPr>
          <w:p w14:paraId="3315BE02">
            <w:pPr>
              <w:jc w:val="center"/>
              <w:rPr>
                <w:rFonts w:hint="eastAsia" w:ascii="宋体" w:hAnsi="宋体" w:cs="宋体"/>
                <w:b/>
                <w:bCs/>
                <w:color w:val="auto"/>
                <w:sz w:val="21"/>
                <w:szCs w:val="21"/>
                <w:highlight w:val="none"/>
                <w:lang w:bidi="ar"/>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00D4DAD8">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消防控制室</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A4D117F">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152E1857">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00</w:t>
            </w:r>
            <w:r>
              <w:rPr>
                <w:rFonts w:hint="eastAsia" w:ascii="宋体" w:hAnsi="宋体" w:cs="宋体"/>
                <w:color w:val="auto"/>
                <w:sz w:val="21"/>
                <w:szCs w:val="21"/>
                <w:highlight w:val="none"/>
                <w:lang w:bidi="ar"/>
              </w:rPr>
              <w:t>-11:45/14:00-17:30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52B328FD">
            <w:pPr>
              <w:jc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监控</w:t>
            </w:r>
          </w:p>
        </w:tc>
      </w:tr>
      <w:tr w14:paraId="4E3C2AD0">
        <w:tblPrEx>
          <w:tblCellMar>
            <w:top w:w="0" w:type="dxa"/>
            <w:left w:w="108" w:type="dxa"/>
            <w:bottom w:w="0" w:type="dxa"/>
            <w:right w:w="108" w:type="dxa"/>
          </w:tblCellMar>
        </w:tblPrEx>
        <w:trPr>
          <w:trHeight w:val="520" w:hRule="atLeast"/>
        </w:trPr>
        <w:tc>
          <w:tcPr>
            <w:tcW w:w="550" w:type="dxa"/>
            <w:vMerge w:val="continue"/>
            <w:tcBorders>
              <w:left w:val="single" w:color="000000" w:sz="4" w:space="0"/>
              <w:bottom w:val="single" w:color="000000" w:sz="4" w:space="0"/>
              <w:right w:val="single" w:color="000000" w:sz="4" w:space="0"/>
            </w:tcBorders>
            <w:noWrap w:val="0"/>
            <w:vAlign w:val="center"/>
          </w:tcPr>
          <w:p w14:paraId="55510667">
            <w:pPr>
              <w:jc w:val="center"/>
              <w:rPr>
                <w:rFonts w:hint="eastAsia" w:ascii="宋体" w:hAnsi="宋体" w:cs="宋体"/>
                <w:b/>
                <w:bCs/>
                <w:color w:val="auto"/>
                <w:sz w:val="21"/>
                <w:szCs w:val="21"/>
                <w:highlight w:val="none"/>
                <w:lang w:val="en-US" w:eastAsia="zh-CN"/>
              </w:rPr>
            </w:pPr>
          </w:p>
        </w:tc>
        <w:tc>
          <w:tcPr>
            <w:tcW w:w="2944" w:type="dxa"/>
            <w:gridSpan w:val="2"/>
            <w:tcBorders>
              <w:top w:val="single" w:color="000000" w:sz="4" w:space="0"/>
              <w:left w:val="single" w:color="000000" w:sz="4" w:space="0"/>
              <w:bottom w:val="single" w:color="000000" w:sz="4" w:space="0"/>
              <w:right w:val="single" w:color="000000" w:sz="4" w:space="0"/>
            </w:tcBorders>
            <w:noWrap w:val="0"/>
            <w:vAlign w:val="center"/>
          </w:tcPr>
          <w:p w14:paraId="0AA9180F">
            <w:pPr>
              <w:jc w:val="center"/>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bidi="ar"/>
              </w:rPr>
              <w:t>小计</w:t>
            </w:r>
          </w:p>
        </w:tc>
        <w:tc>
          <w:tcPr>
            <w:tcW w:w="5307" w:type="dxa"/>
            <w:gridSpan w:val="3"/>
            <w:tcBorders>
              <w:top w:val="single" w:color="000000" w:sz="4" w:space="0"/>
              <w:left w:val="single" w:color="000000" w:sz="4" w:space="0"/>
              <w:bottom w:val="single" w:color="000000" w:sz="4" w:space="0"/>
              <w:right w:val="single" w:color="000000" w:sz="4" w:space="0"/>
            </w:tcBorders>
            <w:noWrap w:val="0"/>
            <w:vAlign w:val="center"/>
          </w:tcPr>
          <w:p w14:paraId="46704771">
            <w:pPr>
              <w:jc w:val="center"/>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val="en-US" w:eastAsia="zh-CN" w:bidi="ar"/>
              </w:rPr>
              <w:t>11</w:t>
            </w:r>
            <w:r>
              <w:rPr>
                <w:rFonts w:hint="eastAsia" w:ascii="宋体" w:hAnsi="宋体" w:cs="宋体"/>
                <w:b/>
                <w:bCs/>
                <w:color w:val="auto"/>
                <w:sz w:val="21"/>
                <w:szCs w:val="21"/>
                <w:highlight w:val="none"/>
                <w:lang w:bidi="ar"/>
              </w:rPr>
              <w:t>人</w:t>
            </w:r>
          </w:p>
        </w:tc>
      </w:tr>
      <w:tr w14:paraId="7B717D19">
        <w:tblPrEx>
          <w:tblCellMar>
            <w:top w:w="0" w:type="dxa"/>
            <w:left w:w="108" w:type="dxa"/>
            <w:bottom w:w="0" w:type="dxa"/>
            <w:right w:w="108" w:type="dxa"/>
          </w:tblCellMar>
        </w:tblPrEx>
        <w:trPr>
          <w:trHeight w:val="520" w:hRule="atLeast"/>
        </w:trPr>
        <w:tc>
          <w:tcPr>
            <w:tcW w:w="550" w:type="dxa"/>
            <w:vMerge w:val="restart"/>
            <w:tcBorders>
              <w:top w:val="single" w:color="000000" w:sz="4" w:space="0"/>
              <w:left w:val="single" w:color="000000" w:sz="4" w:space="0"/>
              <w:right w:val="single" w:color="000000" w:sz="4" w:space="0"/>
            </w:tcBorders>
            <w:noWrap w:val="0"/>
            <w:vAlign w:val="center"/>
          </w:tcPr>
          <w:p w14:paraId="70E3ED52">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4</w:t>
            </w:r>
          </w:p>
          <w:p w14:paraId="6D0FB062">
            <w:pPr>
              <w:jc w:val="center"/>
              <w:rPr>
                <w:rFonts w:hint="eastAsia" w:ascii="宋体" w:hAnsi="宋体" w:cs="宋体"/>
                <w:b/>
                <w:bCs/>
                <w:color w:val="auto"/>
                <w:sz w:val="21"/>
                <w:szCs w:val="21"/>
                <w:highlight w:val="none"/>
                <w:lang w:val="en-US" w:eastAsia="zh-CN"/>
              </w:rPr>
            </w:pPr>
          </w:p>
          <w:p w14:paraId="2C060C84">
            <w:pPr>
              <w:jc w:val="center"/>
              <w:rPr>
                <w:rFonts w:hint="eastAsia" w:ascii="宋体" w:hAnsi="宋体" w:cs="宋体"/>
                <w:b/>
                <w:bCs/>
                <w:color w:val="auto"/>
                <w:sz w:val="21"/>
                <w:szCs w:val="21"/>
                <w:highlight w:val="none"/>
                <w:lang w:val="en-US" w:eastAsia="zh-CN"/>
              </w:rPr>
            </w:pPr>
          </w:p>
          <w:p w14:paraId="5C6AF0F1">
            <w:pPr>
              <w:jc w:val="center"/>
              <w:rPr>
                <w:rFonts w:hint="eastAsia" w:ascii="宋体" w:hAnsi="宋体" w:cs="宋体"/>
                <w:b/>
                <w:bCs/>
                <w:color w:val="auto"/>
                <w:sz w:val="21"/>
                <w:szCs w:val="21"/>
                <w:highlight w:val="none"/>
                <w:lang w:val="en-US" w:eastAsia="zh-CN"/>
              </w:rPr>
            </w:pPr>
          </w:p>
          <w:p w14:paraId="2CD1C17A">
            <w:pPr>
              <w:jc w:val="center"/>
              <w:rPr>
                <w:rFonts w:hint="default" w:ascii="宋体" w:hAnsi="宋体" w:eastAsia="宋体" w:cs="宋体"/>
                <w:b/>
                <w:bCs/>
                <w:color w:val="auto"/>
                <w:sz w:val="21"/>
                <w:szCs w:val="21"/>
                <w:highlight w:val="none"/>
                <w:lang w:val="en-US" w:eastAsia="zh-CN"/>
              </w:rPr>
            </w:pPr>
          </w:p>
          <w:p w14:paraId="1DD0F661">
            <w:pPr>
              <w:pStyle w:val="2"/>
              <w:rPr>
                <w:rFonts w:hint="default"/>
                <w:color w:val="auto"/>
                <w:highlight w:val="none"/>
                <w:lang w:val="en-US" w:eastAsia="zh-CN"/>
              </w:rPr>
            </w:pPr>
          </w:p>
          <w:p w14:paraId="21214EF6">
            <w:pPr>
              <w:pStyle w:val="2"/>
              <w:rPr>
                <w:rFonts w:hint="default"/>
                <w:color w:val="auto"/>
                <w:highlight w:val="none"/>
                <w:lang w:val="en-US" w:eastAsia="zh-CN"/>
              </w:rPr>
            </w:pPr>
          </w:p>
        </w:tc>
        <w:tc>
          <w:tcPr>
            <w:tcW w:w="1152" w:type="dxa"/>
            <w:vMerge w:val="restart"/>
            <w:tcBorders>
              <w:top w:val="single" w:color="000000" w:sz="4" w:space="0"/>
              <w:left w:val="single" w:color="000000" w:sz="4" w:space="0"/>
              <w:bottom w:val="single" w:color="000000" w:sz="4" w:space="0"/>
              <w:right w:val="single" w:color="000000" w:sz="4" w:space="0"/>
            </w:tcBorders>
            <w:noWrap w:val="0"/>
            <w:vAlign w:val="center"/>
          </w:tcPr>
          <w:p w14:paraId="2D60B54B">
            <w:pPr>
              <w:jc w:val="both"/>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运送岗位</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614DF2D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二</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四、五</w:t>
            </w:r>
            <w:r>
              <w:rPr>
                <w:rFonts w:hint="eastAsia" w:ascii="宋体" w:hAnsi="宋体" w:cs="宋体"/>
                <w:color w:val="auto"/>
                <w:sz w:val="21"/>
                <w:szCs w:val="21"/>
                <w:highlight w:val="none"/>
                <w:lang w:bidi="ar"/>
              </w:rPr>
              <w:t>病区</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D65B01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33F45C6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7:00-11:30/14:00-17:30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3A242361">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送检</w:t>
            </w:r>
          </w:p>
        </w:tc>
      </w:tr>
      <w:tr w14:paraId="74954291">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1443626F">
            <w:pPr>
              <w:jc w:val="center"/>
              <w:rPr>
                <w:rFonts w:ascii="宋体" w:hAnsi="宋体" w:cs="宋体"/>
                <w:b/>
                <w:bCs/>
                <w:color w:val="auto"/>
                <w:sz w:val="21"/>
                <w:szCs w:val="21"/>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44E7F6">
            <w:pPr>
              <w:jc w:val="center"/>
              <w:rPr>
                <w:rFonts w:ascii="宋体" w:hAnsi="宋体" w:cs="宋体"/>
                <w:b/>
                <w:bCs/>
                <w:color w:val="auto"/>
                <w:sz w:val="21"/>
                <w:szCs w:val="21"/>
                <w:highlight w:val="none"/>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2E20B2F8">
            <w:pPr>
              <w:jc w:val="both"/>
              <w:rPr>
                <w:rFonts w:ascii="宋体" w:hAnsi="宋体" w:cs="宋体"/>
                <w:color w:val="auto"/>
                <w:sz w:val="21"/>
                <w:szCs w:val="21"/>
                <w:highlight w:val="none"/>
              </w:rPr>
            </w:pPr>
            <w:r>
              <w:rPr>
                <w:rFonts w:hint="eastAsia" w:ascii="宋体" w:hAnsi="宋体" w:cs="宋体"/>
                <w:color w:val="auto"/>
                <w:sz w:val="21"/>
                <w:szCs w:val="21"/>
                <w:highlight w:val="none"/>
                <w:lang w:val="en-US" w:eastAsia="zh-CN" w:bidi="ar"/>
              </w:rPr>
              <w:t>六</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七、八</w:t>
            </w:r>
            <w:r>
              <w:rPr>
                <w:rFonts w:hint="eastAsia" w:ascii="宋体" w:hAnsi="宋体" w:cs="宋体"/>
                <w:color w:val="auto"/>
                <w:sz w:val="21"/>
                <w:szCs w:val="21"/>
                <w:highlight w:val="none"/>
                <w:lang w:bidi="ar"/>
              </w:rPr>
              <w:t>病区</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462BE9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375E0CA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7:00-11:30/14:00-17:30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6431C79A">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送</w:t>
            </w:r>
            <w:r>
              <w:rPr>
                <w:rFonts w:hint="eastAsia" w:ascii="宋体" w:hAnsi="宋体" w:cs="宋体"/>
                <w:color w:val="auto"/>
                <w:sz w:val="21"/>
                <w:szCs w:val="21"/>
                <w:highlight w:val="none"/>
                <w:lang w:val="en-US" w:eastAsia="zh-CN" w:bidi="ar"/>
              </w:rPr>
              <w:t>检</w:t>
            </w:r>
          </w:p>
        </w:tc>
      </w:tr>
      <w:tr w14:paraId="1C089030">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080FAD3B">
            <w:pPr>
              <w:jc w:val="center"/>
              <w:rPr>
                <w:rFonts w:ascii="宋体" w:hAnsi="宋体" w:cs="宋体"/>
                <w:b/>
                <w:bCs/>
                <w:color w:val="auto"/>
                <w:sz w:val="21"/>
                <w:szCs w:val="21"/>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27C8BC">
            <w:pPr>
              <w:jc w:val="center"/>
              <w:rPr>
                <w:rFonts w:ascii="宋体" w:hAnsi="宋体" w:cs="宋体"/>
                <w:b/>
                <w:bCs/>
                <w:color w:val="auto"/>
                <w:sz w:val="21"/>
                <w:szCs w:val="21"/>
                <w:highlight w:val="none"/>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742A3A44">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bidi="ar"/>
              </w:rPr>
              <w:t>九、十、十一</w:t>
            </w:r>
            <w:r>
              <w:rPr>
                <w:rFonts w:hint="eastAsia" w:ascii="宋体" w:hAnsi="宋体" w:cs="宋体"/>
                <w:color w:val="auto"/>
                <w:sz w:val="21"/>
                <w:szCs w:val="21"/>
                <w:highlight w:val="none"/>
                <w:lang w:bidi="ar"/>
              </w:rPr>
              <w:t>病区</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59F0E1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bottom w:val="single" w:color="000000" w:sz="4" w:space="0"/>
              <w:right w:val="single" w:color="000000" w:sz="4" w:space="0"/>
            </w:tcBorders>
            <w:noWrap w:val="0"/>
            <w:vAlign w:val="center"/>
          </w:tcPr>
          <w:p w14:paraId="15D9F58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7:00-11:30/14:00-17:30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124B66CB">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送</w:t>
            </w:r>
            <w:r>
              <w:rPr>
                <w:rFonts w:hint="eastAsia" w:ascii="宋体" w:hAnsi="宋体" w:cs="宋体"/>
                <w:color w:val="auto"/>
                <w:sz w:val="21"/>
                <w:szCs w:val="21"/>
                <w:highlight w:val="none"/>
                <w:lang w:val="en-US" w:eastAsia="zh-CN" w:bidi="ar"/>
              </w:rPr>
              <w:t>检</w:t>
            </w:r>
          </w:p>
        </w:tc>
      </w:tr>
      <w:tr w14:paraId="395A1AA2">
        <w:tblPrEx>
          <w:tblCellMar>
            <w:top w:w="0" w:type="dxa"/>
            <w:left w:w="108" w:type="dxa"/>
            <w:bottom w:w="0" w:type="dxa"/>
            <w:right w:w="108" w:type="dxa"/>
          </w:tblCellMar>
        </w:tblPrEx>
        <w:trPr>
          <w:trHeight w:val="1199" w:hRule="atLeast"/>
        </w:trPr>
        <w:tc>
          <w:tcPr>
            <w:tcW w:w="550" w:type="dxa"/>
            <w:vMerge w:val="continue"/>
            <w:tcBorders>
              <w:left w:val="single" w:color="000000" w:sz="4" w:space="0"/>
              <w:right w:val="single" w:color="000000" w:sz="4" w:space="0"/>
            </w:tcBorders>
            <w:noWrap w:val="0"/>
            <w:vAlign w:val="center"/>
          </w:tcPr>
          <w:p w14:paraId="71AFDA87">
            <w:pPr>
              <w:jc w:val="center"/>
              <w:rPr>
                <w:rFonts w:ascii="宋体" w:hAnsi="宋体" w:cs="宋体"/>
                <w:b/>
                <w:bCs/>
                <w:color w:val="auto"/>
                <w:sz w:val="21"/>
                <w:szCs w:val="21"/>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A87AF3">
            <w:pPr>
              <w:jc w:val="center"/>
              <w:rPr>
                <w:rFonts w:ascii="宋体" w:hAnsi="宋体" w:cs="宋体"/>
                <w:b/>
                <w:bCs/>
                <w:color w:val="auto"/>
                <w:sz w:val="21"/>
                <w:szCs w:val="21"/>
                <w:highlight w:val="none"/>
              </w:rPr>
            </w:pPr>
          </w:p>
        </w:tc>
        <w:tc>
          <w:tcPr>
            <w:tcW w:w="1792" w:type="dxa"/>
            <w:tcBorders>
              <w:top w:val="single" w:color="000000" w:sz="4" w:space="0"/>
              <w:left w:val="single" w:color="000000" w:sz="4" w:space="0"/>
              <w:right w:val="single" w:color="000000" w:sz="4" w:space="0"/>
            </w:tcBorders>
            <w:noWrap w:val="0"/>
            <w:vAlign w:val="center"/>
          </w:tcPr>
          <w:p w14:paraId="7407F35A">
            <w:pPr>
              <w:jc w:val="center"/>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急诊</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手术室、门诊 、胃镜室、</w:t>
            </w:r>
          </w:p>
          <w:p w14:paraId="1361C7DB">
            <w:pPr>
              <w:jc w:val="center"/>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bidi="ar"/>
              </w:rPr>
              <w:t>行政楼</w:t>
            </w:r>
          </w:p>
        </w:tc>
        <w:tc>
          <w:tcPr>
            <w:tcW w:w="846" w:type="dxa"/>
            <w:tcBorders>
              <w:top w:val="single" w:color="000000" w:sz="4" w:space="0"/>
              <w:left w:val="single" w:color="000000" w:sz="4" w:space="0"/>
              <w:right w:val="single" w:color="000000" w:sz="4" w:space="0"/>
            </w:tcBorders>
            <w:noWrap w:val="0"/>
            <w:vAlign w:val="center"/>
          </w:tcPr>
          <w:p w14:paraId="3F2CDFC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c>
          <w:tcPr>
            <w:tcW w:w="2719" w:type="dxa"/>
            <w:tcBorders>
              <w:top w:val="single" w:color="000000" w:sz="4" w:space="0"/>
              <w:left w:val="single" w:color="000000" w:sz="4" w:space="0"/>
              <w:right w:val="single" w:color="000000" w:sz="4" w:space="0"/>
            </w:tcBorders>
            <w:noWrap w:val="0"/>
            <w:vAlign w:val="center"/>
          </w:tcPr>
          <w:p w14:paraId="60498E7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7:00-11:30/14:00-17:30</w:t>
            </w:r>
          </w:p>
        </w:tc>
        <w:tc>
          <w:tcPr>
            <w:tcW w:w="1742" w:type="dxa"/>
            <w:tcBorders>
              <w:top w:val="single" w:color="000000" w:sz="4" w:space="0"/>
              <w:left w:val="single" w:color="000000" w:sz="4" w:space="0"/>
              <w:right w:val="single" w:color="000000" w:sz="4" w:space="0"/>
            </w:tcBorders>
            <w:noWrap w:val="0"/>
            <w:vAlign w:val="center"/>
          </w:tcPr>
          <w:p w14:paraId="2E7810F4">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送</w:t>
            </w:r>
            <w:r>
              <w:rPr>
                <w:rFonts w:hint="eastAsia" w:ascii="宋体" w:hAnsi="宋体" w:cs="宋体"/>
                <w:color w:val="auto"/>
                <w:sz w:val="21"/>
                <w:szCs w:val="21"/>
                <w:highlight w:val="none"/>
                <w:lang w:val="en-US" w:eastAsia="zh-CN" w:bidi="ar"/>
              </w:rPr>
              <w:t>检</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报纸发放</w:t>
            </w:r>
          </w:p>
        </w:tc>
      </w:tr>
      <w:tr w14:paraId="7B383A2B">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6C27A9E6">
            <w:pPr>
              <w:jc w:val="center"/>
              <w:rPr>
                <w:rFonts w:ascii="宋体" w:hAnsi="宋体" w:cs="宋体"/>
                <w:b/>
                <w:bCs/>
                <w:color w:val="auto"/>
                <w:sz w:val="21"/>
                <w:szCs w:val="21"/>
                <w:highlight w:val="none"/>
              </w:rPr>
            </w:pPr>
          </w:p>
        </w:tc>
        <w:tc>
          <w:tcPr>
            <w:tcW w:w="2944" w:type="dxa"/>
            <w:gridSpan w:val="2"/>
            <w:tcBorders>
              <w:top w:val="single" w:color="000000" w:sz="4" w:space="0"/>
              <w:left w:val="single" w:color="000000" w:sz="4" w:space="0"/>
              <w:bottom w:val="single" w:color="000000" w:sz="4" w:space="0"/>
              <w:right w:val="single" w:color="000000" w:sz="4" w:space="0"/>
            </w:tcBorders>
            <w:noWrap w:val="0"/>
            <w:vAlign w:val="center"/>
          </w:tcPr>
          <w:p w14:paraId="12F6FAD5">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小计</w:t>
            </w:r>
          </w:p>
        </w:tc>
        <w:tc>
          <w:tcPr>
            <w:tcW w:w="5307" w:type="dxa"/>
            <w:gridSpan w:val="3"/>
            <w:tcBorders>
              <w:top w:val="single" w:color="000000" w:sz="4" w:space="0"/>
              <w:left w:val="single" w:color="000000" w:sz="4" w:space="0"/>
              <w:bottom w:val="single" w:color="000000" w:sz="4" w:space="0"/>
              <w:right w:val="single" w:color="000000" w:sz="4" w:space="0"/>
            </w:tcBorders>
            <w:noWrap w:val="0"/>
            <w:vAlign w:val="center"/>
          </w:tcPr>
          <w:p w14:paraId="1463AD93">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4</w:t>
            </w:r>
            <w:r>
              <w:rPr>
                <w:rFonts w:hint="eastAsia" w:ascii="宋体" w:hAnsi="宋体" w:cs="宋体"/>
                <w:b/>
                <w:bCs/>
                <w:color w:val="auto"/>
                <w:sz w:val="21"/>
                <w:szCs w:val="21"/>
                <w:highlight w:val="none"/>
                <w:lang w:bidi="ar"/>
              </w:rPr>
              <w:t>人</w:t>
            </w:r>
          </w:p>
        </w:tc>
      </w:tr>
      <w:tr w14:paraId="6730EB90">
        <w:tblPrEx>
          <w:tblCellMar>
            <w:top w:w="0" w:type="dxa"/>
            <w:left w:w="108" w:type="dxa"/>
            <w:bottom w:w="0" w:type="dxa"/>
            <w:right w:w="108" w:type="dxa"/>
          </w:tblCellMar>
        </w:tblPrEx>
        <w:trPr>
          <w:trHeight w:val="520" w:hRule="atLeast"/>
        </w:trPr>
        <w:tc>
          <w:tcPr>
            <w:tcW w:w="550" w:type="dxa"/>
            <w:vMerge w:val="restart"/>
            <w:tcBorders>
              <w:top w:val="single" w:color="auto" w:sz="4" w:space="0"/>
              <w:left w:val="single" w:color="000000" w:sz="4" w:space="0"/>
              <w:right w:val="single" w:color="000000" w:sz="4" w:space="0"/>
            </w:tcBorders>
            <w:noWrap w:val="0"/>
            <w:vAlign w:val="center"/>
          </w:tcPr>
          <w:p w14:paraId="09F011D1">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c>
          <w:tcPr>
            <w:tcW w:w="1152" w:type="dxa"/>
            <w:vMerge w:val="restart"/>
            <w:tcBorders>
              <w:top w:val="single" w:color="auto" w:sz="4" w:space="0"/>
              <w:left w:val="single" w:color="000000" w:sz="4" w:space="0"/>
              <w:right w:val="single" w:color="000000" w:sz="4" w:space="0"/>
            </w:tcBorders>
            <w:noWrap w:val="0"/>
            <w:vAlign w:val="center"/>
          </w:tcPr>
          <w:p w14:paraId="2325D434">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辅助岗位</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6A08BC31">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工程</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6A2DF41">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2719" w:type="dxa"/>
            <w:tcBorders>
              <w:top w:val="single" w:color="000000" w:sz="4" w:space="0"/>
              <w:left w:val="single" w:color="000000" w:sz="4" w:space="0"/>
              <w:bottom w:val="single" w:color="000000" w:sz="4" w:space="0"/>
              <w:right w:val="single" w:color="000000" w:sz="4" w:space="0"/>
            </w:tcBorders>
            <w:noWrap/>
            <w:vAlign w:val="center"/>
          </w:tcPr>
          <w:p w14:paraId="1CEFB963">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bidi="ar"/>
              </w:rPr>
              <w:t>7:</w:t>
            </w:r>
            <w:r>
              <w:rPr>
                <w:rFonts w:hint="eastAsia" w:ascii="宋体" w:hAnsi="宋体" w:cs="宋体"/>
                <w:color w:val="auto"/>
                <w:sz w:val="21"/>
                <w:szCs w:val="21"/>
                <w:highlight w:val="none"/>
                <w:lang w:val="en-US" w:eastAsia="zh-CN" w:bidi="ar"/>
              </w:rPr>
              <w:t>30</w:t>
            </w: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30</w:t>
            </w:r>
            <w:r>
              <w:rPr>
                <w:rFonts w:hint="eastAsia" w:ascii="宋体" w:hAnsi="宋体" w:cs="宋体"/>
                <w:color w:val="auto"/>
                <w:sz w:val="21"/>
                <w:szCs w:val="21"/>
                <w:highlight w:val="none"/>
                <w:lang w:bidi="ar"/>
              </w:rPr>
              <w:t>/14:00-17:30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34DB9986">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机器清洗</w:t>
            </w:r>
          </w:p>
        </w:tc>
      </w:tr>
      <w:tr w14:paraId="30C6427F">
        <w:tblPrEx>
          <w:tblCellMar>
            <w:top w:w="0" w:type="dxa"/>
            <w:left w:w="108" w:type="dxa"/>
            <w:bottom w:w="0" w:type="dxa"/>
            <w:right w:w="108" w:type="dxa"/>
          </w:tblCellMar>
        </w:tblPrEx>
        <w:trPr>
          <w:trHeight w:val="520" w:hRule="atLeast"/>
        </w:trPr>
        <w:tc>
          <w:tcPr>
            <w:tcW w:w="550" w:type="dxa"/>
            <w:vMerge w:val="continue"/>
            <w:tcBorders>
              <w:left w:val="single" w:color="000000" w:sz="4" w:space="0"/>
              <w:right w:val="single" w:color="000000" w:sz="4" w:space="0"/>
            </w:tcBorders>
            <w:noWrap w:val="0"/>
            <w:vAlign w:val="center"/>
          </w:tcPr>
          <w:p w14:paraId="0450AC60">
            <w:pPr>
              <w:jc w:val="center"/>
              <w:rPr>
                <w:rFonts w:ascii="宋体" w:hAnsi="宋体" w:cs="宋体"/>
                <w:b/>
                <w:bCs/>
                <w:color w:val="auto"/>
                <w:sz w:val="21"/>
                <w:szCs w:val="21"/>
                <w:highlight w:val="none"/>
              </w:rPr>
            </w:pPr>
          </w:p>
        </w:tc>
        <w:tc>
          <w:tcPr>
            <w:tcW w:w="1152" w:type="dxa"/>
            <w:vMerge w:val="continue"/>
            <w:tcBorders>
              <w:left w:val="single" w:color="000000" w:sz="4" w:space="0"/>
              <w:bottom w:val="single" w:color="000000" w:sz="4" w:space="0"/>
              <w:right w:val="single" w:color="000000" w:sz="4" w:space="0"/>
            </w:tcBorders>
            <w:noWrap w:val="0"/>
            <w:vAlign w:val="center"/>
          </w:tcPr>
          <w:p w14:paraId="4CFC8CBD">
            <w:pPr>
              <w:jc w:val="center"/>
              <w:rPr>
                <w:rFonts w:ascii="宋体" w:hAnsi="宋体" w:cs="宋体"/>
                <w:b/>
                <w:bCs/>
                <w:color w:val="auto"/>
                <w:sz w:val="21"/>
                <w:szCs w:val="21"/>
                <w:highlight w:val="none"/>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14:paraId="22BA9A40">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科室消毒</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6D3D601">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w:t>
            </w:r>
          </w:p>
        </w:tc>
        <w:tc>
          <w:tcPr>
            <w:tcW w:w="2719" w:type="dxa"/>
            <w:tcBorders>
              <w:top w:val="single" w:color="000000" w:sz="4" w:space="0"/>
              <w:left w:val="single" w:color="000000" w:sz="4" w:space="0"/>
              <w:bottom w:val="single" w:color="000000" w:sz="4" w:space="0"/>
              <w:right w:val="single" w:color="000000" w:sz="4" w:space="0"/>
            </w:tcBorders>
            <w:noWrap/>
            <w:vAlign w:val="center"/>
          </w:tcPr>
          <w:p w14:paraId="3A4D3BA8">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7</w:t>
            </w:r>
            <w:r>
              <w:rPr>
                <w:rFonts w:hint="eastAsia" w:ascii="宋体" w:hAnsi="宋体" w:cs="宋体"/>
                <w:color w:val="auto"/>
                <w:sz w:val="21"/>
                <w:szCs w:val="21"/>
                <w:highlight w:val="none"/>
                <w:lang w:bidi="ar"/>
              </w:rPr>
              <w:t>:</w:t>
            </w:r>
            <w:r>
              <w:rPr>
                <w:rFonts w:hint="eastAsia" w:ascii="宋体" w:hAnsi="宋体" w:cs="宋体"/>
                <w:color w:val="auto"/>
                <w:sz w:val="21"/>
                <w:szCs w:val="21"/>
                <w:highlight w:val="none"/>
                <w:lang w:val="en-US" w:eastAsia="zh-CN" w:bidi="ar"/>
              </w:rPr>
              <w:t>00</w:t>
            </w:r>
            <w:r>
              <w:rPr>
                <w:rFonts w:hint="eastAsia" w:ascii="宋体" w:hAnsi="宋体" w:cs="宋体"/>
                <w:color w:val="auto"/>
                <w:sz w:val="21"/>
                <w:szCs w:val="21"/>
                <w:highlight w:val="none"/>
                <w:lang w:bidi="ar"/>
              </w:rPr>
              <w:t>-11:</w:t>
            </w:r>
            <w:r>
              <w:rPr>
                <w:rFonts w:hint="eastAsia" w:ascii="宋体" w:hAnsi="宋体" w:cs="宋体"/>
                <w:color w:val="auto"/>
                <w:sz w:val="21"/>
                <w:szCs w:val="21"/>
                <w:highlight w:val="none"/>
                <w:lang w:val="en-US" w:eastAsia="zh-CN" w:bidi="ar"/>
              </w:rPr>
              <w:t>30</w:t>
            </w:r>
            <w:r>
              <w:rPr>
                <w:rFonts w:hint="eastAsia" w:ascii="宋体" w:hAnsi="宋体" w:cs="宋体"/>
                <w:color w:val="auto"/>
                <w:sz w:val="21"/>
                <w:szCs w:val="21"/>
                <w:highlight w:val="none"/>
                <w:lang w:bidi="ar"/>
              </w:rPr>
              <w:t>/14:00-17:30</w:t>
            </w:r>
          </w:p>
        </w:tc>
        <w:tc>
          <w:tcPr>
            <w:tcW w:w="1742" w:type="dxa"/>
            <w:tcBorders>
              <w:top w:val="single" w:color="000000" w:sz="4" w:space="0"/>
              <w:left w:val="single" w:color="000000" w:sz="4" w:space="0"/>
              <w:bottom w:val="single" w:color="000000" w:sz="4" w:space="0"/>
              <w:right w:val="single" w:color="000000" w:sz="4" w:space="0"/>
            </w:tcBorders>
            <w:noWrap w:val="0"/>
            <w:vAlign w:val="center"/>
          </w:tcPr>
          <w:p w14:paraId="4A31AB41">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消毒员</w:t>
            </w:r>
          </w:p>
        </w:tc>
      </w:tr>
      <w:tr w14:paraId="4EE14439">
        <w:tblPrEx>
          <w:tblCellMar>
            <w:top w:w="0" w:type="dxa"/>
            <w:left w:w="108" w:type="dxa"/>
            <w:bottom w:w="0" w:type="dxa"/>
            <w:right w:w="108" w:type="dxa"/>
          </w:tblCellMar>
        </w:tblPrEx>
        <w:trPr>
          <w:trHeight w:val="520" w:hRule="atLeast"/>
        </w:trPr>
        <w:tc>
          <w:tcPr>
            <w:tcW w:w="550" w:type="dxa"/>
            <w:vMerge w:val="continue"/>
            <w:tcBorders>
              <w:left w:val="single" w:color="000000" w:sz="4" w:space="0"/>
              <w:bottom w:val="single" w:color="000000" w:sz="4" w:space="0"/>
              <w:right w:val="single" w:color="000000" w:sz="4" w:space="0"/>
            </w:tcBorders>
            <w:noWrap w:val="0"/>
            <w:vAlign w:val="center"/>
          </w:tcPr>
          <w:p w14:paraId="45B65A67">
            <w:pPr>
              <w:jc w:val="center"/>
              <w:rPr>
                <w:rFonts w:ascii="宋体" w:hAnsi="宋体" w:cs="宋体"/>
                <w:b/>
                <w:bCs/>
                <w:color w:val="auto"/>
                <w:sz w:val="21"/>
                <w:szCs w:val="21"/>
                <w:highlight w:val="none"/>
              </w:rPr>
            </w:pPr>
          </w:p>
        </w:tc>
        <w:tc>
          <w:tcPr>
            <w:tcW w:w="2944" w:type="dxa"/>
            <w:gridSpan w:val="2"/>
            <w:tcBorders>
              <w:top w:val="single" w:color="000000" w:sz="4" w:space="0"/>
              <w:left w:val="single" w:color="000000" w:sz="4" w:space="0"/>
              <w:bottom w:val="single" w:color="000000" w:sz="4" w:space="0"/>
              <w:right w:val="single" w:color="000000" w:sz="4" w:space="0"/>
            </w:tcBorders>
            <w:noWrap w:val="0"/>
            <w:vAlign w:val="center"/>
          </w:tcPr>
          <w:p w14:paraId="3146B5FF">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小计</w:t>
            </w:r>
          </w:p>
        </w:tc>
        <w:tc>
          <w:tcPr>
            <w:tcW w:w="5307" w:type="dxa"/>
            <w:gridSpan w:val="3"/>
            <w:tcBorders>
              <w:top w:val="single" w:color="000000" w:sz="4" w:space="0"/>
              <w:left w:val="single" w:color="000000" w:sz="4" w:space="0"/>
              <w:bottom w:val="single" w:color="000000" w:sz="4" w:space="0"/>
              <w:right w:val="single" w:color="000000" w:sz="4" w:space="0"/>
            </w:tcBorders>
            <w:noWrap w:val="0"/>
            <w:vAlign w:val="center"/>
          </w:tcPr>
          <w:p w14:paraId="23825B4F">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19</w:t>
            </w:r>
            <w:r>
              <w:rPr>
                <w:rFonts w:hint="eastAsia" w:ascii="宋体" w:hAnsi="宋体" w:cs="宋体"/>
                <w:b/>
                <w:bCs/>
                <w:color w:val="auto"/>
                <w:sz w:val="21"/>
                <w:szCs w:val="21"/>
                <w:highlight w:val="none"/>
                <w:lang w:bidi="ar"/>
              </w:rPr>
              <w:t>人</w:t>
            </w:r>
          </w:p>
        </w:tc>
      </w:tr>
      <w:tr w14:paraId="549FA5D4">
        <w:tblPrEx>
          <w:tblCellMar>
            <w:top w:w="0" w:type="dxa"/>
            <w:left w:w="108" w:type="dxa"/>
            <w:bottom w:w="0" w:type="dxa"/>
            <w:right w:w="108" w:type="dxa"/>
          </w:tblCellMar>
        </w:tblPrEx>
        <w:trPr>
          <w:trHeight w:val="520" w:hRule="atLeast"/>
        </w:trPr>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8A6AC3B">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合计人数</w:t>
            </w:r>
          </w:p>
        </w:tc>
        <w:tc>
          <w:tcPr>
            <w:tcW w:w="5307" w:type="dxa"/>
            <w:gridSpan w:val="3"/>
            <w:tcBorders>
              <w:top w:val="single" w:color="000000" w:sz="4" w:space="0"/>
              <w:left w:val="single" w:color="000000" w:sz="4" w:space="0"/>
              <w:bottom w:val="single" w:color="000000" w:sz="4" w:space="0"/>
              <w:right w:val="single" w:color="000000" w:sz="4" w:space="0"/>
            </w:tcBorders>
            <w:noWrap w:val="0"/>
            <w:vAlign w:val="center"/>
          </w:tcPr>
          <w:p w14:paraId="008E6FA2">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39</w:t>
            </w:r>
            <w:r>
              <w:rPr>
                <w:rFonts w:hint="eastAsia" w:ascii="宋体" w:hAnsi="宋体" w:cs="宋体"/>
                <w:b/>
                <w:bCs/>
                <w:color w:val="auto"/>
                <w:sz w:val="21"/>
                <w:szCs w:val="21"/>
                <w:highlight w:val="none"/>
                <w:lang w:bidi="ar"/>
              </w:rPr>
              <w:t>人</w:t>
            </w:r>
          </w:p>
        </w:tc>
      </w:tr>
    </w:tbl>
    <w:p w14:paraId="18BD8AF8">
      <w:pPr>
        <w:bidi w:val="0"/>
        <w:rPr>
          <w:rFonts w:hint="eastAsia"/>
          <w:color w:val="auto"/>
          <w:highlight w:val="none"/>
        </w:rPr>
      </w:pPr>
    </w:p>
    <w:p w14:paraId="57FBD2C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十、考核方法及标准</w:t>
      </w:r>
    </w:p>
    <w:p w14:paraId="0E179A57">
      <w:pPr>
        <w:spacing w:line="360" w:lineRule="auto"/>
        <w:ind w:firstLine="420"/>
        <w:rPr>
          <w:rFonts w:ascii="宋体" w:hAnsi="宋体" w:cs="宋体"/>
          <w:b/>
          <w:bCs/>
          <w:color w:val="auto"/>
          <w:highlight w:val="none"/>
        </w:rPr>
      </w:pPr>
      <w:r>
        <w:rPr>
          <w:rFonts w:hint="eastAsia" w:ascii="宋体" w:hAnsi="宋体" w:cs="宋体"/>
          <w:b/>
          <w:bCs/>
          <w:color w:val="auto"/>
          <w:highlight w:val="none"/>
        </w:rPr>
        <w:t>（一）考核方式</w:t>
      </w:r>
    </w:p>
    <w:p w14:paraId="0C3393D9">
      <w:pPr>
        <w:numPr>
          <w:ilvl w:val="0"/>
          <w:numId w:val="9"/>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采购人对中标人服务质量实行百分制考核。</w:t>
      </w:r>
    </w:p>
    <w:p w14:paraId="6EAE0C37">
      <w:pPr>
        <w:numPr>
          <w:ilvl w:val="0"/>
          <w:numId w:val="9"/>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采购人每月向院各护士站护士长、医技科室负责人等发放《服务质量月度考核表》。</w:t>
      </w:r>
    </w:p>
    <w:p w14:paraId="2D1CEFCA">
      <w:pPr>
        <w:numPr>
          <w:ilvl w:val="0"/>
          <w:numId w:val="9"/>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购人负责对中标人的各项服务工作进行定期检查与不定期抽查相结合，每月前半月有计划进行巡视检查，发现问题，通知整改，每月最后10天追踪整改情况，整改不到位将兑现奖罚；负责对用工人员编制情况进行核实，兑现合同条款；负责对服务质量日常巡查与满意度测评。</w:t>
      </w:r>
    </w:p>
    <w:p w14:paraId="478B177D">
      <w:pPr>
        <w:numPr>
          <w:ilvl w:val="0"/>
          <w:numId w:val="9"/>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考核周期：每月1次。</w:t>
      </w:r>
    </w:p>
    <w:p w14:paraId="4F0DF1AF">
      <w:pPr>
        <w:spacing w:line="360" w:lineRule="auto"/>
        <w:ind w:firstLine="420"/>
        <w:rPr>
          <w:rFonts w:ascii="宋体" w:hAnsi="宋体" w:cs="宋体"/>
          <w:b/>
          <w:bCs/>
          <w:color w:val="auto"/>
          <w:highlight w:val="none"/>
        </w:rPr>
      </w:pPr>
      <w:r>
        <w:rPr>
          <w:rFonts w:hint="eastAsia" w:ascii="宋体" w:hAnsi="宋体" w:cs="宋体"/>
          <w:b/>
          <w:bCs/>
          <w:color w:val="auto"/>
          <w:highlight w:val="none"/>
        </w:rPr>
        <w:t>（二）考核内容</w:t>
      </w:r>
    </w:p>
    <w:p w14:paraId="0273484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1、考核结果与中标人物业费结算挂钩。</w:t>
      </w:r>
    </w:p>
    <w:p w14:paraId="63BC00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2、中标人月度考核总分达到90分及以上，按100%支付月度物业管理费。考核分低于</w:t>
      </w:r>
    </w:p>
    <w:p w14:paraId="09875B3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90分，扣除中标人月度物业管理费总额的0.5%，连续两个月以上（包括两个月）月度考核总分低于90分，扣除中标人月度物业管理费总额的0.8%。因服务不到位引起媒体及院外投诉经查实，每发生一例，扣月度考核总分5分，发生院级投诉经查实，每发生一例，扣月度考核总分2分。突发事件应对不及时，造成事态扩大，扣总分2分，造成财产损失以及人员伤害，扣总分5分。员工服装、耗材未按时按量发放，扣1分/例。</w:t>
      </w:r>
    </w:p>
    <w:p w14:paraId="7BB87A6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3、中标人连续三次或以上月度服务综合检查考评低于80分，采购人有权解除合同。</w:t>
      </w:r>
    </w:p>
    <w:p w14:paraId="525F4E4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4、中标人每月至少一次与采购人进行一次质量工作通报（包括工作计划、进展情况、质控点、解决措施、预控目标等）。</w:t>
      </w:r>
    </w:p>
    <w:p w14:paraId="705C39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5、人员考核</w:t>
      </w:r>
    </w:p>
    <w:p w14:paraId="78DA4650">
      <w:pPr>
        <w:adjustRightInd w:val="0"/>
        <w:snapToGrid w:val="0"/>
        <w:spacing w:line="360" w:lineRule="auto"/>
        <w:ind w:left="845" w:hanging="4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（1）管理人员</w:t>
      </w:r>
    </w:p>
    <w:p w14:paraId="04A2BE7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项目经理考核：医院后勤综合服务月度考核总均分达到90分及以上，按100%支付项目经理考核工资，低于90分，每下降1分，扣100元；发生媒体及院外投诉，经查实，每发生一次，扣100元，发生院级投诉，情况属实，扣50元；未按要求参加院方考核协调反馈会议，发生一次，扣100元；人员缺岗超过规定时间，未招聘到位，扣100元/例。</w:t>
      </w:r>
    </w:p>
    <w:p w14:paraId="67DE61D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val="en-US" w:eastAsia="zh-CN"/>
        </w:rPr>
        <w:t>项目管理人员</w:t>
      </w:r>
      <w:r>
        <w:rPr>
          <w:rFonts w:hint="eastAsia" w:ascii="宋体" w:hAnsi="宋体" w:cs="宋体"/>
          <w:color w:val="auto"/>
          <w:szCs w:val="21"/>
          <w:highlight w:val="none"/>
        </w:rPr>
        <w:t>：各区域月度考核平均分达到90分及以上，按100%支付区域</w:t>
      </w:r>
      <w:r>
        <w:rPr>
          <w:rFonts w:hint="eastAsia" w:ascii="宋体" w:hAnsi="宋体" w:cs="宋体"/>
          <w:color w:val="auto"/>
          <w:szCs w:val="21"/>
          <w:highlight w:val="none"/>
          <w:lang w:eastAsia="zh-CN"/>
        </w:rPr>
        <w:t>项目管理人员</w:t>
      </w:r>
      <w:r>
        <w:rPr>
          <w:rFonts w:hint="eastAsia" w:ascii="宋体" w:hAnsi="宋体" w:cs="宋体"/>
          <w:color w:val="auto"/>
          <w:szCs w:val="21"/>
          <w:highlight w:val="none"/>
        </w:rPr>
        <w:t>考核工资，低于90分，每下降1分，扣100元；区域内任一科室考核得分低于80分，扣区域</w:t>
      </w:r>
      <w:r>
        <w:rPr>
          <w:rFonts w:hint="eastAsia" w:ascii="宋体" w:hAnsi="宋体" w:cs="宋体"/>
          <w:color w:val="auto"/>
          <w:szCs w:val="21"/>
          <w:highlight w:val="none"/>
          <w:lang w:eastAsia="zh-CN"/>
        </w:rPr>
        <w:t>项目管理人员</w:t>
      </w:r>
      <w:r>
        <w:rPr>
          <w:rFonts w:hint="eastAsia" w:ascii="宋体" w:hAnsi="宋体" w:cs="宋体"/>
          <w:color w:val="auto"/>
          <w:szCs w:val="21"/>
          <w:highlight w:val="none"/>
        </w:rPr>
        <w:t>考核工资100元，多个科室可以累加；发生媒体及院外投诉，经查实，每发生一次，扣300元，发生院级投诉，情况属实，扣150元。每月未按要求报送</w:t>
      </w:r>
      <w:r>
        <w:rPr>
          <w:rFonts w:hint="eastAsia" w:ascii="宋体" w:hAnsi="宋体" w:cs="宋体"/>
          <w:color w:val="auto"/>
          <w:highlight w:val="none"/>
        </w:rPr>
        <w:t>工作计划、工作总结、培训记录、员工花名册、交保记录，缺少一项，扣100元。</w:t>
      </w:r>
    </w:p>
    <w:p w14:paraId="6E64538E">
      <w:pPr>
        <w:adjustRightInd w:val="0"/>
        <w:snapToGrid w:val="0"/>
        <w:spacing w:line="360" w:lineRule="auto"/>
        <w:ind w:left="845" w:hanging="42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（2）员工考核</w:t>
      </w:r>
    </w:p>
    <w:p w14:paraId="5823A14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①医疗垃圾管理</w:t>
      </w:r>
      <w:r>
        <w:rPr>
          <w:rFonts w:hint="eastAsia" w:ascii="宋体" w:hAnsi="宋体" w:cs="宋体"/>
          <w:color w:val="auto"/>
          <w:szCs w:val="21"/>
          <w:highlight w:val="none"/>
          <w:lang w:val="en-US" w:eastAsia="zh-CN"/>
        </w:rPr>
        <w:t>协助</w:t>
      </w:r>
      <w:r>
        <w:rPr>
          <w:rFonts w:hint="eastAsia" w:ascii="宋体" w:hAnsi="宋体" w:cs="宋体"/>
          <w:color w:val="auto"/>
          <w:szCs w:val="21"/>
          <w:highlight w:val="none"/>
        </w:rPr>
        <w:t>不到位、造成医疗废物流失，参照《医疗废物管理条例》执行。</w:t>
      </w:r>
    </w:p>
    <w:p w14:paraId="4A218FD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②擅自兜售物品，扣200元/例。</w:t>
      </w:r>
    </w:p>
    <w:p w14:paraId="639448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③日常细节与服务问题经口头批评、书面通知后仍未改进，扣100元/例。</w:t>
      </w:r>
    </w:p>
    <w:p w14:paraId="4D5D2FF2">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④强、弱电井、消防栓箱违规放置物品，扣50元/例</w:t>
      </w:r>
      <w:r>
        <w:rPr>
          <w:rFonts w:hint="eastAsia" w:ascii="宋体" w:hAnsi="宋体" w:cs="宋体"/>
          <w:color w:val="auto"/>
          <w:szCs w:val="21"/>
          <w:highlight w:val="none"/>
          <w:lang w:eastAsia="zh-CN"/>
        </w:rPr>
        <w:t>。</w:t>
      </w:r>
    </w:p>
    <w:p w14:paraId="7B8A44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⑤门卫管理不到位，秩序混乱，扣200元/次，造成医院财产损失，扣1000元</w:t>
      </w:r>
    </w:p>
    <w:p w14:paraId="51C368D3">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（三）奖励条款</w:t>
      </w:r>
    </w:p>
    <w:p w14:paraId="6DAEB2B5">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1、在医院重大检查、重要活动中表现突出，为医院赢得声誉，报采购人</w:t>
      </w:r>
      <w:r>
        <w:rPr>
          <w:rFonts w:hint="eastAsia" w:ascii="宋体" w:hAnsi="宋体" w:cs="宋体"/>
          <w:bCs/>
          <w:color w:val="auto"/>
          <w:szCs w:val="21"/>
          <w:highlight w:val="none"/>
          <w:lang w:eastAsia="zh-CN"/>
        </w:rPr>
        <w:t>后勤科</w:t>
      </w:r>
      <w:r>
        <w:rPr>
          <w:rFonts w:hint="eastAsia" w:ascii="宋体" w:hAnsi="宋体" w:cs="宋体"/>
          <w:bCs/>
          <w:color w:val="auto"/>
          <w:szCs w:val="21"/>
          <w:highlight w:val="none"/>
        </w:rPr>
        <w:t>集体讨论审定后给予适当奖励。</w:t>
      </w:r>
    </w:p>
    <w:p w14:paraId="047A4117">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2、突发事件应对及时有效，避免医院财产损失以及人身伤害，根据其具体情况，报采购人</w:t>
      </w:r>
      <w:r>
        <w:rPr>
          <w:rFonts w:hint="eastAsia" w:ascii="宋体" w:hAnsi="宋体" w:cs="宋体"/>
          <w:bCs/>
          <w:color w:val="auto"/>
          <w:szCs w:val="21"/>
          <w:highlight w:val="none"/>
          <w:lang w:eastAsia="zh-CN"/>
        </w:rPr>
        <w:t>后勤科</w:t>
      </w:r>
      <w:r>
        <w:rPr>
          <w:rFonts w:hint="eastAsia" w:ascii="宋体" w:hAnsi="宋体" w:cs="宋体"/>
          <w:bCs/>
          <w:color w:val="auto"/>
          <w:szCs w:val="21"/>
          <w:highlight w:val="none"/>
        </w:rPr>
        <w:t>集体讨论审定后给予奖励。</w:t>
      </w:r>
    </w:p>
    <w:p w14:paraId="1643E1BD">
      <w:pPr>
        <w:rPr>
          <w:rFonts w:hint="eastAsia" w:ascii="宋体" w:hAnsi="宋体" w:cs="宋体"/>
          <w:b/>
          <w:bCs/>
          <w:color w:val="auto"/>
          <w:szCs w:val="21"/>
          <w:highlight w:val="none"/>
        </w:rPr>
      </w:pPr>
      <w:r>
        <w:rPr>
          <w:rFonts w:hint="eastAsia" w:ascii="宋体" w:hAnsi="宋体" w:cs="宋体"/>
          <w:b/>
          <w:bCs/>
          <w:color w:val="auto"/>
          <w:szCs w:val="21"/>
          <w:highlight w:val="none"/>
        </w:rPr>
        <w:br w:type="page"/>
      </w:r>
    </w:p>
    <w:p w14:paraId="1C09DAED">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（四）服务质量月度考核表</w:t>
      </w:r>
    </w:p>
    <w:p w14:paraId="77FF34C5">
      <w:pPr>
        <w:jc w:val="center"/>
        <w:outlineLvl w:val="3"/>
        <w:rPr>
          <w:rFonts w:hint="eastAsia" w:ascii="宋体" w:hAnsi="宋体" w:cs="宋体"/>
          <w:b/>
          <w:bCs/>
          <w:color w:val="auto"/>
          <w:szCs w:val="21"/>
          <w:highlight w:val="none"/>
          <w:lang w:bidi="ar"/>
        </w:rPr>
      </w:pPr>
    </w:p>
    <w:p w14:paraId="1BA738BE">
      <w:pPr>
        <w:jc w:val="center"/>
        <w:outlineLvl w:val="3"/>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运送工作质量月度考核表</w:t>
      </w:r>
    </w:p>
    <w:p w14:paraId="46974442">
      <w:pPr>
        <w:pStyle w:val="2"/>
        <w:numPr>
          <w:ilvl w:val="0"/>
          <w:numId w:val="0"/>
        </w:numPr>
        <w:ind w:left="420" w:leftChars="0"/>
        <w:rPr>
          <w:color w:val="auto"/>
          <w:highlight w:val="none"/>
        </w:rPr>
      </w:pPr>
    </w:p>
    <w:tbl>
      <w:tblPr>
        <w:tblStyle w:val="38"/>
        <w:tblpPr w:leftFromText="180" w:rightFromText="180" w:vertAnchor="text" w:tblpXSpec="center" w:tblpY="1"/>
        <w:tblOverlap w:val="never"/>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5"/>
        <w:gridCol w:w="6001"/>
        <w:gridCol w:w="996"/>
        <w:gridCol w:w="780"/>
      </w:tblGrid>
      <w:tr w14:paraId="79FA2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1" w:type="pct"/>
            <w:noWrap w:val="0"/>
            <w:vAlign w:val="center"/>
          </w:tcPr>
          <w:p w14:paraId="49F2652C">
            <w:pPr>
              <w:widowControl/>
              <w:snapToGrid w:val="0"/>
              <w:spacing w:before="72" w:beforeLines="30" w:after="72" w:afterLines="30"/>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项目</w:t>
            </w:r>
          </w:p>
        </w:tc>
        <w:tc>
          <w:tcPr>
            <w:tcW w:w="3277" w:type="pct"/>
            <w:noWrap w:val="0"/>
            <w:vAlign w:val="center"/>
          </w:tcPr>
          <w:p w14:paraId="2CA09597">
            <w:pPr>
              <w:widowControl/>
              <w:snapToGrid w:val="0"/>
              <w:spacing w:before="72" w:beforeLines="30" w:after="72" w:afterLines="30"/>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考  核  内  容</w:t>
            </w:r>
          </w:p>
        </w:tc>
        <w:tc>
          <w:tcPr>
            <w:tcW w:w="544" w:type="pct"/>
            <w:noWrap w:val="0"/>
            <w:vAlign w:val="bottom"/>
          </w:tcPr>
          <w:p w14:paraId="0CFAA384">
            <w:pPr>
              <w:widowControl/>
              <w:snapToGrid w:val="0"/>
              <w:spacing w:before="72" w:beforeLines="30" w:after="72" w:afterLines="30"/>
              <w:jc w:val="center"/>
              <w:textAlignment w:val="bottom"/>
              <w:rPr>
                <w:rFonts w:ascii="宋体" w:hAnsi="宋体" w:cs="宋体"/>
                <w:b/>
                <w:bCs/>
                <w:color w:val="auto"/>
                <w:szCs w:val="21"/>
                <w:highlight w:val="none"/>
              </w:rPr>
            </w:pPr>
            <w:r>
              <w:rPr>
                <w:rFonts w:hint="eastAsia" w:ascii="宋体" w:hAnsi="宋体" w:cs="宋体"/>
                <w:b/>
                <w:bCs/>
                <w:color w:val="auto"/>
                <w:szCs w:val="21"/>
                <w:highlight w:val="none"/>
              </w:rPr>
              <w:t>标准分</w:t>
            </w:r>
          </w:p>
        </w:tc>
        <w:tc>
          <w:tcPr>
            <w:tcW w:w="426" w:type="pct"/>
            <w:noWrap w:val="0"/>
            <w:vAlign w:val="center"/>
          </w:tcPr>
          <w:p w14:paraId="3401EFF6">
            <w:pPr>
              <w:widowControl/>
              <w:snapToGrid w:val="0"/>
              <w:spacing w:before="72" w:beforeLines="30" w:after="72" w:afterLines="30"/>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得分</w:t>
            </w:r>
          </w:p>
        </w:tc>
      </w:tr>
      <w:tr w14:paraId="0101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51" w:type="pct"/>
            <w:noWrap w:val="0"/>
            <w:vAlign w:val="center"/>
          </w:tcPr>
          <w:p w14:paraId="1EC106BC">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仪容仪表（5）</w:t>
            </w:r>
          </w:p>
        </w:tc>
        <w:tc>
          <w:tcPr>
            <w:tcW w:w="3277" w:type="pct"/>
            <w:noWrap w:val="0"/>
            <w:vAlign w:val="center"/>
          </w:tcPr>
          <w:p w14:paraId="4FB32ED2">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举止端庄大方，着装规范，佩戴工号牌上岗</w:t>
            </w:r>
          </w:p>
        </w:tc>
        <w:tc>
          <w:tcPr>
            <w:tcW w:w="544" w:type="pct"/>
            <w:noWrap w:val="0"/>
            <w:vAlign w:val="center"/>
          </w:tcPr>
          <w:p w14:paraId="0C9F8F0B">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c>
          <w:tcPr>
            <w:tcW w:w="426" w:type="pct"/>
            <w:noWrap w:val="0"/>
            <w:vAlign w:val="center"/>
          </w:tcPr>
          <w:p w14:paraId="7ED752D2">
            <w:pPr>
              <w:snapToGrid w:val="0"/>
              <w:spacing w:before="72" w:beforeLines="30" w:after="72" w:afterLines="30"/>
              <w:jc w:val="center"/>
              <w:rPr>
                <w:rFonts w:ascii="宋体" w:hAnsi="宋体" w:cs="宋体"/>
                <w:color w:val="auto"/>
                <w:szCs w:val="21"/>
                <w:highlight w:val="none"/>
              </w:rPr>
            </w:pPr>
          </w:p>
        </w:tc>
      </w:tr>
      <w:tr w14:paraId="3771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51" w:type="pct"/>
            <w:noWrap w:val="0"/>
            <w:vAlign w:val="center"/>
          </w:tcPr>
          <w:p w14:paraId="166CFD73">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服务态度（</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w:t>
            </w:r>
          </w:p>
        </w:tc>
        <w:tc>
          <w:tcPr>
            <w:tcW w:w="3277" w:type="pct"/>
            <w:noWrap w:val="0"/>
            <w:vAlign w:val="center"/>
          </w:tcPr>
          <w:p w14:paraId="724C37FB">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文明用语，病区内不得大声喧哗，不与患者及家属发生争吵</w:t>
            </w:r>
          </w:p>
        </w:tc>
        <w:tc>
          <w:tcPr>
            <w:tcW w:w="544" w:type="pct"/>
            <w:noWrap w:val="0"/>
            <w:vAlign w:val="center"/>
          </w:tcPr>
          <w:p w14:paraId="5F26557E">
            <w:pPr>
              <w:widowControl/>
              <w:snapToGrid w:val="0"/>
              <w:spacing w:before="72" w:beforeLines="30" w:after="72" w:afterLines="3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426" w:type="pct"/>
            <w:noWrap w:val="0"/>
            <w:vAlign w:val="center"/>
          </w:tcPr>
          <w:p w14:paraId="348C5486">
            <w:pPr>
              <w:snapToGrid w:val="0"/>
              <w:spacing w:before="72" w:beforeLines="30" w:after="72" w:afterLines="30"/>
              <w:jc w:val="center"/>
              <w:rPr>
                <w:rFonts w:ascii="宋体" w:hAnsi="宋体" w:cs="宋体"/>
                <w:color w:val="auto"/>
                <w:szCs w:val="21"/>
                <w:highlight w:val="none"/>
              </w:rPr>
            </w:pPr>
          </w:p>
        </w:tc>
      </w:tr>
      <w:tr w14:paraId="70AC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51" w:type="pct"/>
            <w:noWrap w:val="0"/>
            <w:vAlign w:val="center"/>
          </w:tcPr>
          <w:p w14:paraId="12354D6F">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劳动纪律（</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w:t>
            </w:r>
          </w:p>
        </w:tc>
        <w:tc>
          <w:tcPr>
            <w:tcW w:w="3277" w:type="pct"/>
            <w:noWrap w:val="0"/>
            <w:vAlign w:val="center"/>
          </w:tcPr>
          <w:p w14:paraId="5434ADC1">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1.遵守劳动纪律，履行请假制度</w:t>
            </w:r>
          </w:p>
          <w:p w14:paraId="1166471C">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2.服从安排，并圆满完成任务</w:t>
            </w:r>
          </w:p>
        </w:tc>
        <w:tc>
          <w:tcPr>
            <w:tcW w:w="544" w:type="pct"/>
            <w:noWrap w:val="0"/>
            <w:vAlign w:val="center"/>
          </w:tcPr>
          <w:p w14:paraId="0C6DB02F">
            <w:pPr>
              <w:widowControl/>
              <w:snapToGrid w:val="0"/>
              <w:spacing w:before="72" w:beforeLines="30" w:after="72" w:afterLines="3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426" w:type="pct"/>
            <w:noWrap w:val="0"/>
            <w:vAlign w:val="center"/>
          </w:tcPr>
          <w:p w14:paraId="13EF4CEC">
            <w:pPr>
              <w:snapToGrid w:val="0"/>
              <w:spacing w:before="72" w:beforeLines="30" w:after="72" w:afterLines="30"/>
              <w:jc w:val="center"/>
              <w:rPr>
                <w:rFonts w:ascii="宋体" w:hAnsi="宋体" w:cs="宋体"/>
                <w:color w:val="auto"/>
                <w:szCs w:val="21"/>
                <w:highlight w:val="none"/>
              </w:rPr>
            </w:pPr>
          </w:p>
        </w:tc>
      </w:tr>
      <w:tr w14:paraId="47C7E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51" w:type="pct"/>
            <w:vMerge w:val="restart"/>
            <w:noWrap w:val="0"/>
            <w:vAlign w:val="center"/>
          </w:tcPr>
          <w:p w14:paraId="33EB2BFF">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运送         工作质量（</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5）</w:t>
            </w:r>
          </w:p>
        </w:tc>
        <w:tc>
          <w:tcPr>
            <w:tcW w:w="3277" w:type="pct"/>
            <w:noWrap w:val="0"/>
            <w:vAlign w:val="center"/>
          </w:tcPr>
          <w:p w14:paraId="6001EFFB">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1.遵守运送工作职责，服从指挥</w:t>
            </w:r>
          </w:p>
        </w:tc>
        <w:tc>
          <w:tcPr>
            <w:tcW w:w="544" w:type="pct"/>
            <w:noWrap w:val="0"/>
            <w:vAlign w:val="center"/>
          </w:tcPr>
          <w:p w14:paraId="632180C7">
            <w:pPr>
              <w:widowControl/>
              <w:snapToGrid w:val="0"/>
              <w:spacing w:before="72" w:beforeLines="30" w:after="72" w:afterLines="3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426" w:type="pct"/>
            <w:noWrap w:val="0"/>
            <w:vAlign w:val="center"/>
          </w:tcPr>
          <w:p w14:paraId="79F6F1A0">
            <w:pPr>
              <w:snapToGrid w:val="0"/>
              <w:spacing w:before="72" w:beforeLines="30" w:after="72" w:afterLines="30"/>
              <w:jc w:val="center"/>
              <w:rPr>
                <w:rFonts w:ascii="宋体" w:hAnsi="宋体" w:cs="宋体"/>
                <w:color w:val="auto"/>
                <w:szCs w:val="21"/>
                <w:highlight w:val="none"/>
              </w:rPr>
            </w:pPr>
          </w:p>
        </w:tc>
      </w:tr>
      <w:tr w14:paraId="22C2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51" w:type="pct"/>
            <w:vMerge w:val="continue"/>
            <w:noWrap w:val="0"/>
            <w:vAlign w:val="center"/>
          </w:tcPr>
          <w:p w14:paraId="5AF16A56">
            <w:pPr>
              <w:snapToGrid w:val="0"/>
              <w:spacing w:before="72" w:beforeLines="30" w:after="72" w:afterLines="30"/>
              <w:jc w:val="center"/>
              <w:rPr>
                <w:rFonts w:ascii="宋体" w:hAnsi="宋体" w:cs="宋体"/>
                <w:color w:val="auto"/>
                <w:szCs w:val="21"/>
                <w:highlight w:val="none"/>
              </w:rPr>
            </w:pPr>
          </w:p>
        </w:tc>
        <w:tc>
          <w:tcPr>
            <w:tcW w:w="3277" w:type="pct"/>
            <w:noWrap w:val="0"/>
            <w:vAlign w:val="center"/>
          </w:tcPr>
          <w:p w14:paraId="442121C5">
            <w:pPr>
              <w:widowControl/>
              <w:snapToGrid w:val="0"/>
              <w:spacing w:before="72" w:beforeLines="30" w:after="72" w:afterLines="30"/>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运送工作及时率100%</w:t>
            </w:r>
          </w:p>
        </w:tc>
        <w:tc>
          <w:tcPr>
            <w:tcW w:w="544" w:type="pct"/>
            <w:noWrap w:val="0"/>
            <w:vAlign w:val="center"/>
          </w:tcPr>
          <w:p w14:paraId="444C7CBF">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426" w:type="pct"/>
            <w:noWrap w:val="0"/>
            <w:vAlign w:val="center"/>
          </w:tcPr>
          <w:p w14:paraId="08F8B7F1">
            <w:pPr>
              <w:snapToGrid w:val="0"/>
              <w:spacing w:before="72" w:beforeLines="30" w:after="72" w:afterLines="30"/>
              <w:jc w:val="center"/>
              <w:rPr>
                <w:rFonts w:ascii="宋体" w:hAnsi="宋体" w:cs="宋体"/>
                <w:color w:val="auto"/>
                <w:szCs w:val="21"/>
                <w:highlight w:val="none"/>
              </w:rPr>
            </w:pPr>
          </w:p>
        </w:tc>
      </w:tr>
      <w:tr w14:paraId="45CA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51" w:type="pct"/>
            <w:vMerge w:val="continue"/>
            <w:noWrap w:val="0"/>
            <w:vAlign w:val="center"/>
          </w:tcPr>
          <w:p w14:paraId="4224AA4C">
            <w:pPr>
              <w:snapToGrid w:val="0"/>
              <w:spacing w:before="72" w:beforeLines="30" w:after="72" w:afterLines="30"/>
              <w:jc w:val="center"/>
              <w:rPr>
                <w:rFonts w:ascii="宋体" w:hAnsi="宋体" w:cs="宋体"/>
                <w:color w:val="auto"/>
                <w:szCs w:val="21"/>
                <w:highlight w:val="none"/>
              </w:rPr>
            </w:pPr>
          </w:p>
        </w:tc>
        <w:tc>
          <w:tcPr>
            <w:tcW w:w="3277" w:type="pct"/>
            <w:noWrap w:val="0"/>
            <w:vAlign w:val="center"/>
          </w:tcPr>
          <w:p w14:paraId="05FCEC5B">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3.标本、单据、消毒物品、药品送达准确、无差错</w:t>
            </w:r>
          </w:p>
        </w:tc>
        <w:tc>
          <w:tcPr>
            <w:tcW w:w="544" w:type="pct"/>
            <w:noWrap w:val="0"/>
            <w:vAlign w:val="center"/>
          </w:tcPr>
          <w:p w14:paraId="1624B317">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426" w:type="pct"/>
            <w:noWrap w:val="0"/>
            <w:vAlign w:val="center"/>
          </w:tcPr>
          <w:p w14:paraId="5101B893">
            <w:pPr>
              <w:widowControl/>
              <w:snapToGrid w:val="0"/>
              <w:spacing w:before="72" w:beforeLines="30" w:after="72" w:afterLines="30"/>
              <w:jc w:val="center"/>
              <w:textAlignment w:val="center"/>
              <w:rPr>
                <w:rFonts w:ascii="宋体" w:hAnsi="宋体" w:cs="宋体"/>
                <w:color w:val="auto"/>
                <w:szCs w:val="21"/>
                <w:highlight w:val="none"/>
              </w:rPr>
            </w:pPr>
          </w:p>
        </w:tc>
      </w:tr>
      <w:tr w14:paraId="62BE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51" w:type="pct"/>
            <w:vMerge w:val="continue"/>
            <w:noWrap w:val="0"/>
            <w:vAlign w:val="center"/>
          </w:tcPr>
          <w:p w14:paraId="7C1D6C1D">
            <w:pPr>
              <w:snapToGrid w:val="0"/>
              <w:spacing w:before="72" w:beforeLines="30" w:after="72" w:afterLines="30"/>
              <w:jc w:val="center"/>
              <w:rPr>
                <w:rFonts w:ascii="宋体" w:hAnsi="宋体" w:cs="宋体"/>
                <w:color w:val="auto"/>
                <w:szCs w:val="21"/>
                <w:highlight w:val="none"/>
              </w:rPr>
            </w:pPr>
          </w:p>
        </w:tc>
        <w:tc>
          <w:tcPr>
            <w:tcW w:w="3277" w:type="pct"/>
            <w:noWrap w:val="0"/>
            <w:vAlign w:val="center"/>
          </w:tcPr>
          <w:p w14:paraId="3453755F">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4.急诊如输血、急诊化验，要求电话后15分钟到病区</w:t>
            </w:r>
          </w:p>
        </w:tc>
        <w:tc>
          <w:tcPr>
            <w:tcW w:w="544" w:type="pct"/>
            <w:noWrap w:val="0"/>
            <w:vAlign w:val="center"/>
          </w:tcPr>
          <w:p w14:paraId="0B35FBD8">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426" w:type="pct"/>
            <w:noWrap w:val="0"/>
            <w:vAlign w:val="center"/>
          </w:tcPr>
          <w:p w14:paraId="4881D40A">
            <w:pPr>
              <w:snapToGrid w:val="0"/>
              <w:spacing w:before="72" w:beforeLines="30" w:after="72" w:afterLines="30"/>
              <w:jc w:val="center"/>
              <w:rPr>
                <w:rFonts w:ascii="宋体" w:hAnsi="宋体" w:cs="宋体"/>
                <w:color w:val="auto"/>
                <w:szCs w:val="21"/>
                <w:highlight w:val="none"/>
              </w:rPr>
            </w:pPr>
          </w:p>
        </w:tc>
      </w:tr>
      <w:tr w14:paraId="538E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51" w:type="pct"/>
            <w:vMerge w:val="continue"/>
            <w:noWrap w:val="0"/>
            <w:vAlign w:val="center"/>
          </w:tcPr>
          <w:p w14:paraId="18FA00E5">
            <w:pPr>
              <w:snapToGrid w:val="0"/>
              <w:spacing w:before="72" w:beforeLines="30" w:after="72" w:afterLines="30"/>
              <w:jc w:val="center"/>
              <w:rPr>
                <w:rFonts w:ascii="宋体" w:hAnsi="宋体" w:cs="宋体"/>
                <w:color w:val="auto"/>
                <w:szCs w:val="21"/>
                <w:highlight w:val="none"/>
              </w:rPr>
            </w:pPr>
          </w:p>
        </w:tc>
        <w:tc>
          <w:tcPr>
            <w:tcW w:w="3277" w:type="pct"/>
            <w:noWrap w:val="0"/>
            <w:vAlign w:val="center"/>
          </w:tcPr>
          <w:p w14:paraId="071F8A87">
            <w:pPr>
              <w:widowControl/>
              <w:snapToGrid w:val="0"/>
              <w:spacing w:before="72" w:beforeLines="30" w:after="72" w:afterLines="30"/>
              <w:jc w:val="left"/>
              <w:textAlignment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病历及时递送</w:t>
            </w:r>
          </w:p>
        </w:tc>
        <w:tc>
          <w:tcPr>
            <w:tcW w:w="544" w:type="pct"/>
            <w:noWrap w:val="0"/>
            <w:vAlign w:val="center"/>
          </w:tcPr>
          <w:p w14:paraId="3D42DE8A">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426" w:type="pct"/>
            <w:noWrap w:val="0"/>
            <w:vAlign w:val="center"/>
          </w:tcPr>
          <w:p w14:paraId="12618999">
            <w:pPr>
              <w:snapToGrid w:val="0"/>
              <w:spacing w:before="72" w:beforeLines="30" w:after="72" w:afterLines="30"/>
              <w:jc w:val="center"/>
              <w:rPr>
                <w:rFonts w:ascii="宋体" w:hAnsi="宋体" w:cs="宋体"/>
                <w:color w:val="auto"/>
                <w:szCs w:val="21"/>
                <w:highlight w:val="none"/>
              </w:rPr>
            </w:pPr>
          </w:p>
        </w:tc>
      </w:tr>
      <w:tr w14:paraId="142F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51" w:type="pct"/>
            <w:vMerge w:val="continue"/>
            <w:noWrap w:val="0"/>
            <w:vAlign w:val="center"/>
          </w:tcPr>
          <w:p w14:paraId="3D0AAB57">
            <w:pPr>
              <w:snapToGrid w:val="0"/>
              <w:spacing w:before="72" w:beforeLines="30" w:after="72" w:afterLines="30"/>
              <w:jc w:val="center"/>
              <w:rPr>
                <w:rFonts w:ascii="宋体" w:hAnsi="宋体" w:cs="宋体"/>
                <w:color w:val="auto"/>
                <w:szCs w:val="21"/>
                <w:highlight w:val="none"/>
              </w:rPr>
            </w:pPr>
          </w:p>
        </w:tc>
        <w:tc>
          <w:tcPr>
            <w:tcW w:w="3277" w:type="pct"/>
            <w:noWrap w:val="0"/>
            <w:vAlign w:val="center"/>
          </w:tcPr>
          <w:p w14:paraId="040F7AE8">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6.严格执行交接班制度</w:t>
            </w:r>
          </w:p>
        </w:tc>
        <w:tc>
          <w:tcPr>
            <w:tcW w:w="544" w:type="pct"/>
            <w:noWrap w:val="0"/>
            <w:vAlign w:val="center"/>
          </w:tcPr>
          <w:p w14:paraId="50E3E37A">
            <w:pPr>
              <w:widowControl/>
              <w:snapToGrid w:val="0"/>
              <w:spacing w:before="72" w:beforeLines="30" w:after="72" w:afterLines="30"/>
              <w:jc w:val="center"/>
              <w:textAlignment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426" w:type="pct"/>
            <w:noWrap w:val="0"/>
            <w:vAlign w:val="center"/>
          </w:tcPr>
          <w:p w14:paraId="050F670F">
            <w:pPr>
              <w:snapToGrid w:val="0"/>
              <w:spacing w:before="72" w:beforeLines="30" w:after="72" w:afterLines="30"/>
              <w:jc w:val="center"/>
              <w:rPr>
                <w:rFonts w:ascii="宋体" w:hAnsi="宋体" w:cs="宋体"/>
                <w:color w:val="auto"/>
                <w:szCs w:val="21"/>
                <w:highlight w:val="none"/>
              </w:rPr>
            </w:pPr>
          </w:p>
        </w:tc>
      </w:tr>
      <w:tr w14:paraId="7CB3F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51" w:type="pct"/>
            <w:vMerge w:val="continue"/>
            <w:noWrap w:val="0"/>
            <w:vAlign w:val="center"/>
          </w:tcPr>
          <w:p w14:paraId="1C5D1BEA">
            <w:pPr>
              <w:snapToGrid w:val="0"/>
              <w:spacing w:before="72" w:beforeLines="30" w:after="72" w:afterLines="30"/>
              <w:jc w:val="center"/>
              <w:rPr>
                <w:rFonts w:ascii="宋体" w:hAnsi="宋体" w:cs="宋体"/>
                <w:color w:val="auto"/>
                <w:szCs w:val="21"/>
                <w:highlight w:val="none"/>
              </w:rPr>
            </w:pPr>
          </w:p>
        </w:tc>
        <w:tc>
          <w:tcPr>
            <w:tcW w:w="3277" w:type="pct"/>
            <w:noWrap w:val="0"/>
            <w:vAlign w:val="center"/>
          </w:tcPr>
          <w:p w14:paraId="65C26802">
            <w:pPr>
              <w:widowControl/>
              <w:snapToGrid w:val="0"/>
              <w:spacing w:before="72" w:beforeLines="30" w:after="72" w:afterLines="30"/>
              <w:jc w:val="left"/>
              <w:textAlignment w:val="center"/>
              <w:rPr>
                <w:rFonts w:ascii="宋体" w:hAnsi="宋体" w:cs="宋体"/>
                <w:color w:val="auto"/>
                <w:szCs w:val="21"/>
                <w:highlight w:val="none"/>
              </w:rPr>
            </w:pPr>
            <w:r>
              <w:rPr>
                <w:rFonts w:hint="eastAsia" w:ascii="宋体" w:hAnsi="宋体" w:cs="宋体"/>
                <w:color w:val="auto"/>
                <w:szCs w:val="21"/>
                <w:highlight w:val="none"/>
              </w:rPr>
              <w:t>7.爱护公共财物，做好陪检工具的清洗、消毒和保养工作</w:t>
            </w:r>
          </w:p>
        </w:tc>
        <w:tc>
          <w:tcPr>
            <w:tcW w:w="544" w:type="pct"/>
            <w:noWrap w:val="0"/>
            <w:vAlign w:val="center"/>
          </w:tcPr>
          <w:p w14:paraId="576F997E">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426" w:type="pct"/>
            <w:noWrap w:val="0"/>
            <w:vAlign w:val="center"/>
          </w:tcPr>
          <w:p w14:paraId="21B4200C">
            <w:pPr>
              <w:snapToGrid w:val="0"/>
              <w:spacing w:before="72" w:beforeLines="30" w:after="72" w:afterLines="30"/>
              <w:jc w:val="center"/>
              <w:rPr>
                <w:rFonts w:ascii="宋体" w:hAnsi="宋体" w:cs="宋体"/>
                <w:color w:val="auto"/>
                <w:szCs w:val="21"/>
                <w:highlight w:val="none"/>
              </w:rPr>
            </w:pPr>
          </w:p>
        </w:tc>
      </w:tr>
      <w:tr w14:paraId="590D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51" w:type="pct"/>
            <w:vMerge w:val="continue"/>
            <w:noWrap w:val="0"/>
            <w:vAlign w:val="center"/>
          </w:tcPr>
          <w:p w14:paraId="20725CBA">
            <w:pPr>
              <w:widowControl/>
              <w:snapToGrid w:val="0"/>
              <w:spacing w:before="72" w:beforeLines="30" w:after="72" w:afterLines="30"/>
              <w:jc w:val="center"/>
              <w:textAlignment w:val="center"/>
              <w:rPr>
                <w:rFonts w:ascii="宋体" w:hAnsi="宋体" w:cs="宋体"/>
                <w:color w:val="auto"/>
                <w:szCs w:val="21"/>
                <w:highlight w:val="none"/>
              </w:rPr>
            </w:pPr>
          </w:p>
        </w:tc>
        <w:tc>
          <w:tcPr>
            <w:tcW w:w="3277" w:type="pct"/>
            <w:noWrap w:val="0"/>
            <w:vAlign w:val="center"/>
          </w:tcPr>
          <w:p w14:paraId="4F5C2CA8">
            <w:pPr>
              <w:snapToGrid w:val="0"/>
              <w:spacing w:before="72" w:beforeLines="30" w:after="72" w:afterLines="30"/>
              <w:jc w:val="left"/>
              <w:rPr>
                <w:rFonts w:ascii="宋体" w:hAnsi="宋体" w:cs="宋体"/>
                <w:color w:val="auto"/>
                <w:szCs w:val="21"/>
                <w:highlight w:val="none"/>
              </w:rPr>
            </w:pPr>
            <w:r>
              <w:rPr>
                <w:rFonts w:hint="eastAsia" w:ascii="宋体" w:hAnsi="宋体" w:cs="宋体"/>
                <w:color w:val="auto"/>
                <w:szCs w:val="21"/>
                <w:highlight w:val="none"/>
              </w:rPr>
              <w:t>8.绿色通道人员工作规范、及时，不参与第三方营利活动</w:t>
            </w:r>
          </w:p>
        </w:tc>
        <w:tc>
          <w:tcPr>
            <w:tcW w:w="544" w:type="pct"/>
            <w:noWrap w:val="0"/>
            <w:vAlign w:val="center"/>
          </w:tcPr>
          <w:p w14:paraId="3B012630">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426" w:type="pct"/>
            <w:noWrap w:val="0"/>
            <w:vAlign w:val="center"/>
          </w:tcPr>
          <w:p w14:paraId="5173B364">
            <w:pPr>
              <w:widowControl/>
              <w:snapToGrid w:val="0"/>
              <w:spacing w:before="72" w:beforeLines="30" w:after="72" w:afterLines="30"/>
              <w:jc w:val="center"/>
              <w:textAlignment w:val="center"/>
              <w:rPr>
                <w:rFonts w:ascii="宋体" w:hAnsi="宋体" w:cs="宋体"/>
                <w:color w:val="auto"/>
                <w:szCs w:val="21"/>
                <w:highlight w:val="none"/>
              </w:rPr>
            </w:pPr>
          </w:p>
        </w:tc>
      </w:tr>
      <w:tr w14:paraId="5E88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51" w:type="pct"/>
            <w:noWrap w:val="0"/>
            <w:vAlign w:val="center"/>
          </w:tcPr>
          <w:p w14:paraId="1D3C2CBB">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总分</w:t>
            </w:r>
          </w:p>
        </w:tc>
        <w:tc>
          <w:tcPr>
            <w:tcW w:w="3277" w:type="pct"/>
            <w:noWrap w:val="0"/>
            <w:vAlign w:val="center"/>
          </w:tcPr>
          <w:p w14:paraId="7A14034E">
            <w:pPr>
              <w:snapToGrid w:val="0"/>
              <w:spacing w:before="72" w:beforeLines="30" w:after="72" w:afterLines="30"/>
              <w:jc w:val="left"/>
              <w:rPr>
                <w:rFonts w:ascii="宋体" w:hAnsi="宋体" w:cs="宋体"/>
                <w:color w:val="auto"/>
                <w:szCs w:val="21"/>
                <w:highlight w:val="none"/>
              </w:rPr>
            </w:pPr>
          </w:p>
        </w:tc>
        <w:tc>
          <w:tcPr>
            <w:tcW w:w="544" w:type="pct"/>
            <w:noWrap w:val="0"/>
            <w:vAlign w:val="center"/>
          </w:tcPr>
          <w:p w14:paraId="7708405D">
            <w:pPr>
              <w:widowControl/>
              <w:snapToGrid w:val="0"/>
              <w:spacing w:before="72" w:beforeLines="30" w:after="72" w:afterLines="30"/>
              <w:jc w:val="center"/>
              <w:textAlignment w:val="center"/>
              <w:rPr>
                <w:rFonts w:ascii="宋体" w:hAnsi="宋体" w:cs="宋体"/>
                <w:color w:val="auto"/>
                <w:szCs w:val="21"/>
                <w:highlight w:val="none"/>
              </w:rPr>
            </w:pPr>
            <w:r>
              <w:rPr>
                <w:rFonts w:hint="eastAsia" w:ascii="宋体" w:hAnsi="宋体" w:cs="宋体"/>
                <w:color w:val="auto"/>
                <w:szCs w:val="21"/>
                <w:highlight w:val="none"/>
              </w:rPr>
              <w:t>100</w:t>
            </w:r>
          </w:p>
        </w:tc>
        <w:tc>
          <w:tcPr>
            <w:tcW w:w="426" w:type="pct"/>
            <w:noWrap w:val="0"/>
            <w:vAlign w:val="center"/>
          </w:tcPr>
          <w:p w14:paraId="33483A77">
            <w:pPr>
              <w:widowControl/>
              <w:snapToGrid w:val="0"/>
              <w:spacing w:before="72" w:beforeLines="30" w:after="72" w:afterLines="30"/>
              <w:jc w:val="center"/>
              <w:textAlignment w:val="center"/>
              <w:rPr>
                <w:rFonts w:ascii="宋体" w:hAnsi="宋体" w:cs="宋体"/>
                <w:color w:val="auto"/>
                <w:szCs w:val="21"/>
                <w:highlight w:val="none"/>
              </w:rPr>
            </w:pPr>
          </w:p>
        </w:tc>
      </w:tr>
    </w:tbl>
    <w:p w14:paraId="6B56D000">
      <w:pPr>
        <w:rPr>
          <w:rFonts w:ascii="宋体" w:hAnsi="宋体" w:cs="宋体"/>
          <w:color w:val="auto"/>
          <w:highlight w:val="none"/>
        </w:rPr>
      </w:pPr>
    </w:p>
    <w:p w14:paraId="026A5199">
      <w:pPr>
        <w:ind w:firstLine="2741" w:firstLineChars="1300"/>
        <w:rPr>
          <w:rFonts w:ascii="宋体" w:hAnsi="宋体" w:cs="宋体"/>
          <w:b/>
          <w:bCs/>
          <w:color w:val="auto"/>
          <w:szCs w:val="21"/>
          <w:highlight w:val="none"/>
          <w:lang w:bidi="ar"/>
        </w:rPr>
      </w:pPr>
    </w:p>
    <w:p w14:paraId="796BC43D">
      <w:pPr>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br w:type="page"/>
      </w:r>
    </w:p>
    <w:p w14:paraId="09CE9588">
      <w:pPr>
        <w:jc w:val="center"/>
        <w:outlineLvl w:val="3"/>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消毒工作质量月度考核表</w:t>
      </w:r>
    </w:p>
    <w:p w14:paraId="007CA763">
      <w:pPr>
        <w:pStyle w:val="2"/>
        <w:numPr>
          <w:ilvl w:val="0"/>
          <w:numId w:val="0"/>
        </w:numPr>
        <w:ind w:left="420" w:leftChars="0"/>
        <w:rPr>
          <w:color w:val="auto"/>
          <w:highlight w:val="none"/>
        </w:rPr>
      </w:pPr>
    </w:p>
    <w:tbl>
      <w:tblPr>
        <w:tblStyle w:val="38"/>
        <w:tblpPr w:leftFromText="180" w:rightFromText="180" w:vertAnchor="text" w:tblpXSpec="center" w:tblpY="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5530"/>
        <w:gridCol w:w="1257"/>
        <w:gridCol w:w="1165"/>
      </w:tblGrid>
      <w:tr w14:paraId="5134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noWrap w:val="0"/>
            <w:vAlign w:val="center"/>
          </w:tcPr>
          <w:p w14:paraId="63F7FE1D">
            <w:pPr>
              <w:widowControl/>
              <w:snapToGrid w:val="0"/>
              <w:spacing w:line="360" w:lineRule="auto"/>
              <w:jc w:val="both"/>
              <w:textAlignment w:val="center"/>
              <w:rPr>
                <w:rFonts w:ascii="宋体" w:hAnsi="宋体" w:cs="宋体"/>
                <w:b/>
                <w:bCs/>
                <w:color w:val="auto"/>
                <w:szCs w:val="21"/>
                <w:highlight w:val="none"/>
              </w:rPr>
            </w:pPr>
            <w:r>
              <w:rPr>
                <w:rFonts w:hint="eastAsia" w:ascii="宋体" w:hAnsi="宋体" w:cs="宋体"/>
                <w:b/>
                <w:bCs/>
                <w:color w:val="auto"/>
                <w:szCs w:val="21"/>
                <w:highlight w:val="none"/>
              </w:rPr>
              <w:t>项目</w:t>
            </w:r>
          </w:p>
        </w:tc>
        <w:tc>
          <w:tcPr>
            <w:tcW w:w="3017" w:type="pct"/>
            <w:noWrap w:val="0"/>
            <w:vAlign w:val="center"/>
          </w:tcPr>
          <w:p w14:paraId="4435A39E">
            <w:pPr>
              <w:widowControl/>
              <w:snapToGrid w:val="0"/>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考  核  内  容</w:t>
            </w:r>
          </w:p>
        </w:tc>
        <w:tc>
          <w:tcPr>
            <w:tcW w:w="686" w:type="pct"/>
            <w:noWrap w:val="0"/>
            <w:vAlign w:val="center"/>
          </w:tcPr>
          <w:p w14:paraId="3769331E">
            <w:pPr>
              <w:widowControl/>
              <w:snapToGrid w:val="0"/>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标准分</w:t>
            </w:r>
          </w:p>
        </w:tc>
        <w:tc>
          <w:tcPr>
            <w:tcW w:w="635" w:type="pct"/>
            <w:noWrap w:val="0"/>
            <w:vAlign w:val="center"/>
          </w:tcPr>
          <w:p w14:paraId="168C43DE">
            <w:pPr>
              <w:widowControl/>
              <w:snapToGrid w:val="0"/>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rPr>
              <w:t>得分</w:t>
            </w:r>
          </w:p>
        </w:tc>
      </w:tr>
      <w:tr w14:paraId="05434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662" w:type="pct"/>
            <w:noWrap w:val="0"/>
            <w:vAlign w:val="center"/>
          </w:tcPr>
          <w:p w14:paraId="72CF0F62">
            <w:pPr>
              <w:widowControl/>
              <w:snapToGrid w:val="0"/>
              <w:spacing w:line="360" w:lineRule="auto"/>
              <w:textAlignment w:val="center"/>
              <w:rPr>
                <w:rFonts w:ascii="宋体" w:hAnsi="宋体" w:cs="宋体"/>
                <w:color w:val="auto"/>
                <w:szCs w:val="21"/>
                <w:highlight w:val="none"/>
              </w:rPr>
            </w:pPr>
            <w:r>
              <w:rPr>
                <w:rFonts w:hint="eastAsia" w:ascii="宋体" w:hAnsi="宋体" w:cs="宋体"/>
                <w:color w:val="auto"/>
                <w:szCs w:val="21"/>
                <w:highlight w:val="none"/>
              </w:rPr>
              <w:t>仪容仪表（10）</w:t>
            </w:r>
          </w:p>
        </w:tc>
        <w:tc>
          <w:tcPr>
            <w:tcW w:w="3017" w:type="pct"/>
            <w:noWrap w:val="0"/>
            <w:vAlign w:val="center"/>
          </w:tcPr>
          <w:p w14:paraId="40320816">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举止端庄大方，着装规范，佩戴工号牌上岗，无长发、长指甲、浓妆</w:t>
            </w:r>
            <w:r>
              <w:rPr>
                <w:rFonts w:hint="eastAsia" w:ascii="宋体" w:hAnsi="宋体" w:cs="宋体"/>
                <w:color w:val="auto"/>
                <w:szCs w:val="21"/>
                <w:highlight w:val="none"/>
                <w:lang w:eastAsia="zh-CN"/>
              </w:rPr>
              <w:t>；</w:t>
            </w:r>
          </w:p>
        </w:tc>
        <w:tc>
          <w:tcPr>
            <w:tcW w:w="686" w:type="pct"/>
            <w:noWrap w:val="0"/>
            <w:vAlign w:val="center"/>
          </w:tcPr>
          <w:p w14:paraId="0D132E93">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5" w:type="pct"/>
            <w:noWrap w:val="0"/>
            <w:vAlign w:val="center"/>
          </w:tcPr>
          <w:p w14:paraId="2374AF3B">
            <w:pPr>
              <w:snapToGrid w:val="0"/>
              <w:spacing w:line="360" w:lineRule="auto"/>
              <w:rPr>
                <w:rFonts w:ascii="宋体" w:hAnsi="宋体" w:cs="宋体"/>
                <w:color w:val="auto"/>
                <w:szCs w:val="21"/>
                <w:highlight w:val="none"/>
              </w:rPr>
            </w:pPr>
          </w:p>
        </w:tc>
      </w:tr>
      <w:tr w14:paraId="520E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noWrap w:val="0"/>
            <w:vAlign w:val="center"/>
          </w:tcPr>
          <w:p w14:paraId="5D759D5D">
            <w:pPr>
              <w:widowControl/>
              <w:snapToGrid w:val="0"/>
              <w:spacing w:line="360" w:lineRule="auto"/>
              <w:textAlignment w:val="center"/>
              <w:rPr>
                <w:rFonts w:ascii="宋体" w:hAnsi="宋体" w:cs="宋体"/>
                <w:color w:val="auto"/>
                <w:szCs w:val="21"/>
                <w:highlight w:val="none"/>
              </w:rPr>
            </w:pPr>
            <w:r>
              <w:rPr>
                <w:rFonts w:hint="eastAsia" w:ascii="宋体" w:hAnsi="宋体" w:cs="宋体"/>
                <w:color w:val="auto"/>
                <w:szCs w:val="21"/>
                <w:highlight w:val="none"/>
              </w:rPr>
              <w:t>服务态度（5）</w:t>
            </w:r>
          </w:p>
        </w:tc>
        <w:tc>
          <w:tcPr>
            <w:tcW w:w="3017" w:type="pct"/>
            <w:noWrap w:val="0"/>
            <w:vAlign w:val="center"/>
          </w:tcPr>
          <w:p w14:paraId="151931EA">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坚持文明用语，耐心服务</w:t>
            </w:r>
            <w:r>
              <w:rPr>
                <w:rFonts w:hint="eastAsia" w:ascii="宋体" w:hAnsi="宋体" w:cs="宋体"/>
                <w:color w:val="auto"/>
                <w:szCs w:val="21"/>
                <w:highlight w:val="none"/>
                <w:lang w:eastAsia="zh-CN"/>
              </w:rPr>
              <w:t>；</w:t>
            </w:r>
          </w:p>
        </w:tc>
        <w:tc>
          <w:tcPr>
            <w:tcW w:w="686" w:type="pct"/>
            <w:noWrap w:val="0"/>
            <w:vAlign w:val="center"/>
          </w:tcPr>
          <w:p w14:paraId="77079313">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5</w:t>
            </w:r>
          </w:p>
        </w:tc>
        <w:tc>
          <w:tcPr>
            <w:tcW w:w="635" w:type="pct"/>
            <w:noWrap w:val="0"/>
            <w:vAlign w:val="center"/>
          </w:tcPr>
          <w:p w14:paraId="6594F1F7">
            <w:pPr>
              <w:snapToGrid w:val="0"/>
              <w:spacing w:line="360" w:lineRule="auto"/>
              <w:rPr>
                <w:rFonts w:ascii="宋体" w:hAnsi="宋体" w:cs="宋体"/>
                <w:color w:val="auto"/>
                <w:szCs w:val="21"/>
                <w:highlight w:val="none"/>
              </w:rPr>
            </w:pPr>
          </w:p>
        </w:tc>
      </w:tr>
      <w:tr w14:paraId="5F15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62" w:type="pct"/>
            <w:noWrap w:val="0"/>
            <w:vAlign w:val="center"/>
          </w:tcPr>
          <w:p w14:paraId="36A4B994">
            <w:pPr>
              <w:widowControl/>
              <w:snapToGrid w:val="0"/>
              <w:spacing w:line="360" w:lineRule="auto"/>
              <w:textAlignment w:val="center"/>
              <w:rPr>
                <w:rFonts w:ascii="宋体" w:hAnsi="宋体" w:cs="宋体"/>
                <w:color w:val="auto"/>
                <w:szCs w:val="21"/>
                <w:highlight w:val="none"/>
              </w:rPr>
            </w:pPr>
            <w:r>
              <w:rPr>
                <w:rFonts w:hint="eastAsia" w:ascii="宋体" w:hAnsi="宋体" w:cs="宋体"/>
                <w:color w:val="auto"/>
                <w:szCs w:val="21"/>
                <w:highlight w:val="none"/>
              </w:rPr>
              <w:t>劳动纪律（10）</w:t>
            </w:r>
          </w:p>
        </w:tc>
        <w:tc>
          <w:tcPr>
            <w:tcW w:w="3017" w:type="pct"/>
            <w:noWrap w:val="0"/>
            <w:vAlign w:val="center"/>
          </w:tcPr>
          <w:p w14:paraId="510C22F5">
            <w:pPr>
              <w:widowControl/>
              <w:snapToGrid w:val="0"/>
              <w:spacing w:line="360" w:lineRule="auto"/>
              <w:textAlignment w:val="center"/>
              <w:rPr>
                <w:rFonts w:hint="eastAsia" w:ascii="宋体" w:hAnsi="宋体" w:cs="宋体"/>
                <w:color w:val="auto"/>
                <w:szCs w:val="21"/>
                <w:highlight w:val="none"/>
              </w:rPr>
            </w:pPr>
          </w:p>
          <w:p w14:paraId="176BCDB1">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1.遵守劳动纪律，严格履行请假手续</w:t>
            </w:r>
            <w:r>
              <w:rPr>
                <w:rFonts w:hint="eastAsia" w:ascii="宋体" w:hAnsi="宋体" w:cs="宋体"/>
                <w:color w:val="auto"/>
                <w:szCs w:val="21"/>
                <w:highlight w:val="none"/>
                <w:lang w:eastAsia="zh-CN"/>
              </w:rPr>
              <w:t>；</w:t>
            </w:r>
          </w:p>
          <w:p w14:paraId="6257E7E8">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2.严禁串岗、聊岗、离岗，班内不做与本岗无关的事情</w:t>
            </w:r>
            <w:r>
              <w:rPr>
                <w:rFonts w:hint="eastAsia" w:ascii="宋体" w:hAnsi="宋体" w:cs="宋体"/>
                <w:color w:val="auto"/>
                <w:szCs w:val="21"/>
                <w:highlight w:val="none"/>
                <w:lang w:eastAsia="zh-CN"/>
              </w:rPr>
              <w:t>；</w:t>
            </w:r>
          </w:p>
          <w:p w14:paraId="02F06F34">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3.服从安排并圆满完成任务，不得与病患、医护人员发生口角</w:t>
            </w:r>
            <w:r>
              <w:rPr>
                <w:rFonts w:hint="eastAsia" w:ascii="宋体" w:hAnsi="宋体" w:cs="宋体"/>
                <w:color w:val="auto"/>
                <w:szCs w:val="21"/>
                <w:highlight w:val="none"/>
                <w:lang w:eastAsia="zh-CN"/>
              </w:rPr>
              <w:t>；</w:t>
            </w:r>
          </w:p>
        </w:tc>
        <w:tc>
          <w:tcPr>
            <w:tcW w:w="686" w:type="pct"/>
            <w:noWrap w:val="0"/>
            <w:vAlign w:val="center"/>
          </w:tcPr>
          <w:p w14:paraId="2C8969BD">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5" w:type="pct"/>
            <w:noWrap w:val="0"/>
            <w:vAlign w:val="center"/>
          </w:tcPr>
          <w:p w14:paraId="6B16EBF4">
            <w:pPr>
              <w:snapToGrid w:val="0"/>
              <w:spacing w:line="360" w:lineRule="auto"/>
              <w:rPr>
                <w:rFonts w:ascii="宋体" w:hAnsi="宋体" w:cs="宋体"/>
                <w:color w:val="auto"/>
                <w:szCs w:val="21"/>
                <w:highlight w:val="none"/>
              </w:rPr>
            </w:pPr>
          </w:p>
        </w:tc>
      </w:tr>
      <w:tr w14:paraId="0044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62" w:type="pct"/>
            <w:vMerge w:val="restart"/>
            <w:noWrap w:val="0"/>
            <w:vAlign w:val="center"/>
          </w:tcPr>
          <w:p w14:paraId="74D74651">
            <w:pPr>
              <w:widowControl/>
              <w:snapToGrid w:val="0"/>
              <w:spacing w:line="360" w:lineRule="auto"/>
              <w:textAlignment w:val="center"/>
              <w:rPr>
                <w:rFonts w:ascii="宋体" w:hAnsi="宋体" w:cs="宋体"/>
                <w:color w:val="auto"/>
                <w:szCs w:val="21"/>
                <w:highlight w:val="none"/>
              </w:rPr>
            </w:pPr>
            <w:r>
              <w:rPr>
                <w:rFonts w:hint="eastAsia" w:ascii="宋体" w:hAnsi="宋体" w:cs="宋体"/>
                <w:color w:val="auto"/>
                <w:szCs w:val="21"/>
                <w:highlight w:val="none"/>
              </w:rPr>
              <w:t>工作质量（75）</w:t>
            </w:r>
          </w:p>
        </w:tc>
        <w:tc>
          <w:tcPr>
            <w:tcW w:w="3017" w:type="pct"/>
            <w:noWrap w:val="0"/>
            <w:vAlign w:val="center"/>
          </w:tcPr>
          <w:p w14:paraId="67EEAA66">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1、未按规定对每天出院患者病床做终末消毒处置</w:t>
            </w:r>
            <w:r>
              <w:rPr>
                <w:rFonts w:hint="eastAsia" w:ascii="宋体" w:hAnsi="宋体" w:cs="宋体"/>
                <w:color w:val="auto"/>
                <w:szCs w:val="21"/>
                <w:highlight w:val="none"/>
                <w:lang w:eastAsia="zh-CN"/>
              </w:rPr>
              <w:t>；</w:t>
            </w:r>
          </w:p>
        </w:tc>
        <w:tc>
          <w:tcPr>
            <w:tcW w:w="686" w:type="pct"/>
            <w:noWrap w:val="0"/>
            <w:vAlign w:val="center"/>
          </w:tcPr>
          <w:p w14:paraId="78C77278">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20</w:t>
            </w:r>
          </w:p>
        </w:tc>
        <w:tc>
          <w:tcPr>
            <w:tcW w:w="635" w:type="pct"/>
            <w:noWrap w:val="0"/>
            <w:vAlign w:val="center"/>
          </w:tcPr>
          <w:p w14:paraId="5733CF5D">
            <w:pPr>
              <w:snapToGrid w:val="0"/>
              <w:spacing w:line="360" w:lineRule="auto"/>
              <w:rPr>
                <w:rFonts w:ascii="宋体" w:hAnsi="宋体" w:cs="宋体"/>
                <w:color w:val="auto"/>
                <w:szCs w:val="21"/>
                <w:highlight w:val="none"/>
              </w:rPr>
            </w:pPr>
          </w:p>
        </w:tc>
      </w:tr>
      <w:tr w14:paraId="0B6B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vMerge w:val="continue"/>
            <w:noWrap w:val="0"/>
            <w:vAlign w:val="center"/>
          </w:tcPr>
          <w:p w14:paraId="11C4A4F0">
            <w:pPr>
              <w:snapToGrid w:val="0"/>
              <w:spacing w:line="360" w:lineRule="auto"/>
              <w:rPr>
                <w:rFonts w:ascii="宋体" w:hAnsi="宋体" w:cs="宋体"/>
                <w:color w:val="auto"/>
                <w:szCs w:val="21"/>
                <w:highlight w:val="none"/>
              </w:rPr>
            </w:pPr>
          </w:p>
        </w:tc>
        <w:tc>
          <w:tcPr>
            <w:tcW w:w="3017" w:type="pct"/>
            <w:noWrap w:val="0"/>
            <w:vAlign w:val="center"/>
          </w:tcPr>
          <w:p w14:paraId="420ECD20">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2、诊疗区域、病房所有设施物表消毒擦拭工作并记录</w:t>
            </w:r>
            <w:r>
              <w:rPr>
                <w:rFonts w:hint="eastAsia" w:ascii="宋体" w:hAnsi="宋体" w:cs="宋体"/>
                <w:color w:val="auto"/>
                <w:szCs w:val="21"/>
                <w:highlight w:val="none"/>
                <w:lang w:eastAsia="zh-CN"/>
              </w:rPr>
              <w:t>；</w:t>
            </w:r>
          </w:p>
        </w:tc>
        <w:tc>
          <w:tcPr>
            <w:tcW w:w="686" w:type="pct"/>
            <w:noWrap w:val="0"/>
            <w:vAlign w:val="center"/>
          </w:tcPr>
          <w:p w14:paraId="264406B9">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5" w:type="pct"/>
            <w:noWrap w:val="0"/>
            <w:vAlign w:val="center"/>
          </w:tcPr>
          <w:p w14:paraId="2BE2FCF6">
            <w:pPr>
              <w:snapToGrid w:val="0"/>
              <w:spacing w:line="360" w:lineRule="auto"/>
              <w:rPr>
                <w:rFonts w:ascii="宋体" w:hAnsi="宋体" w:cs="宋体"/>
                <w:color w:val="auto"/>
                <w:szCs w:val="21"/>
                <w:highlight w:val="none"/>
              </w:rPr>
            </w:pPr>
          </w:p>
        </w:tc>
      </w:tr>
      <w:tr w14:paraId="32A6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vMerge w:val="continue"/>
            <w:noWrap w:val="0"/>
            <w:vAlign w:val="center"/>
          </w:tcPr>
          <w:p w14:paraId="6E3C487D">
            <w:pPr>
              <w:snapToGrid w:val="0"/>
              <w:spacing w:line="360" w:lineRule="auto"/>
              <w:rPr>
                <w:rFonts w:ascii="宋体" w:hAnsi="宋体" w:cs="宋体"/>
                <w:color w:val="auto"/>
                <w:szCs w:val="21"/>
                <w:highlight w:val="none"/>
              </w:rPr>
            </w:pPr>
          </w:p>
        </w:tc>
        <w:tc>
          <w:tcPr>
            <w:tcW w:w="3017" w:type="pct"/>
            <w:noWrap w:val="0"/>
            <w:vAlign w:val="center"/>
          </w:tcPr>
          <w:p w14:paraId="09384F1A">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3、医废收集按照规定执行，对医废回收桶消毒、擦拭</w:t>
            </w:r>
            <w:r>
              <w:rPr>
                <w:rFonts w:hint="eastAsia" w:ascii="宋体" w:hAnsi="宋体" w:cs="宋体"/>
                <w:color w:val="auto"/>
                <w:szCs w:val="21"/>
                <w:highlight w:val="none"/>
                <w:lang w:eastAsia="zh-CN"/>
              </w:rPr>
              <w:t>；</w:t>
            </w:r>
          </w:p>
        </w:tc>
        <w:tc>
          <w:tcPr>
            <w:tcW w:w="686" w:type="pct"/>
            <w:noWrap w:val="0"/>
            <w:vAlign w:val="center"/>
          </w:tcPr>
          <w:p w14:paraId="43D25429">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15</w:t>
            </w:r>
          </w:p>
        </w:tc>
        <w:tc>
          <w:tcPr>
            <w:tcW w:w="635" w:type="pct"/>
            <w:noWrap w:val="0"/>
            <w:vAlign w:val="center"/>
          </w:tcPr>
          <w:p w14:paraId="1D1FCFA5">
            <w:pPr>
              <w:snapToGrid w:val="0"/>
              <w:spacing w:line="360" w:lineRule="auto"/>
              <w:rPr>
                <w:rFonts w:ascii="宋体" w:hAnsi="宋体" w:cs="宋体"/>
                <w:color w:val="auto"/>
                <w:szCs w:val="21"/>
                <w:highlight w:val="none"/>
              </w:rPr>
            </w:pPr>
          </w:p>
        </w:tc>
      </w:tr>
      <w:tr w14:paraId="44C5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vMerge w:val="continue"/>
            <w:noWrap w:val="0"/>
            <w:vAlign w:val="center"/>
          </w:tcPr>
          <w:p w14:paraId="56B837BA">
            <w:pPr>
              <w:snapToGrid w:val="0"/>
              <w:spacing w:line="360" w:lineRule="auto"/>
              <w:rPr>
                <w:rFonts w:ascii="宋体" w:hAnsi="宋体" w:cs="宋体"/>
                <w:color w:val="auto"/>
                <w:szCs w:val="21"/>
                <w:highlight w:val="none"/>
              </w:rPr>
            </w:pPr>
          </w:p>
        </w:tc>
        <w:tc>
          <w:tcPr>
            <w:tcW w:w="3017" w:type="pct"/>
            <w:noWrap w:val="0"/>
            <w:vAlign w:val="center"/>
          </w:tcPr>
          <w:p w14:paraId="7A7CB698">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4、处置室消毒工作</w:t>
            </w:r>
            <w:r>
              <w:rPr>
                <w:rFonts w:hint="eastAsia" w:ascii="宋体" w:hAnsi="宋体" w:cs="宋体"/>
                <w:color w:val="auto"/>
                <w:szCs w:val="21"/>
                <w:highlight w:val="none"/>
                <w:lang w:eastAsia="zh-CN"/>
              </w:rPr>
              <w:t>；</w:t>
            </w:r>
          </w:p>
        </w:tc>
        <w:tc>
          <w:tcPr>
            <w:tcW w:w="686" w:type="pct"/>
            <w:noWrap w:val="0"/>
            <w:vAlign w:val="center"/>
          </w:tcPr>
          <w:p w14:paraId="475280FD">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5" w:type="pct"/>
            <w:noWrap w:val="0"/>
            <w:vAlign w:val="center"/>
          </w:tcPr>
          <w:p w14:paraId="5ACD3173">
            <w:pPr>
              <w:snapToGrid w:val="0"/>
              <w:spacing w:line="360" w:lineRule="auto"/>
              <w:rPr>
                <w:rFonts w:ascii="宋体" w:hAnsi="宋体" w:cs="宋体"/>
                <w:color w:val="auto"/>
                <w:szCs w:val="21"/>
                <w:highlight w:val="none"/>
              </w:rPr>
            </w:pPr>
          </w:p>
        </w:tc>
      </w:tr>
      <w:tr w14:paraId="271F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662" w:type="pct"/>
            <w:vMerge w:val="continue"/>
            <w:noWrap w:val="0"/>
            <w:vAlign w:val="center"/>
          </w:tcPr>
          <w:p w14:paraId="2F965228">
            <w:pPr>
              <w:snapToGrid w:val="0"/>
              <w:spacing w:line="360" w:lineRule="auto"/>
              <w:rPr>
                <w:rFonts w:ascii="宋体" w:hAnsi="宋体" w:cs="宋体"/>
                <w:color w:val="auto"/>
                <w:szCs w:val="21"/>
                <w:highlight w:val="none"/>
              </w:rPr>
            </w:pPr>
          </w:p>
        </w:tc>
        <w:tc>
          <w:tcPr>
            <w:tcW w:w="3017" w:type="pct"/>
            <w:noWrap w:val="0"/>
            <w:vAlign w:val="center"/>
          </w:tcPr>
          <w:p w14:paraId="5F52A874">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5、消毒液如何配比，配比完毕是否使用色卡比对浓度</w:t>
            </w:r>
            <w:r>
              <w:rPr>
                <w:rFonts w:hint="eastAsia" w:ascii="宋体" w:hAnsi="宋体" w:cs="宋体"/>
                <w:color w:val="auto"/>
                <w:szCs w:val="21"/>
                <w:highlight w:val="none"/>
                <w:lang w:eastAsia="zh-CN"/>
              </w:rPr>
              <w:t>；</w:t>
            </w:r>
          </w:p>
        </w:tc>
        <w:tc>
          <w:tcPr>
            <w:tcW w:w="686" w:type="pct"/>
            <w:noWrap w:val="0"/>
            <w:vAlign w:val="center"/>
          </w:tcPr>
          <w:p w14:paraId="5F21C96B">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5" w:type="pct"/>
            <w:noWrap w:val="0"/>
            <w:vAlign w:val="center"/>
          </w:tcPr>
          <w:p w14:paraId="7CDEB839">
            <w:pPr>
              <w:snapToGrid w:val="0"/>
              <w:spacing w:line="360" w:lineRule="auto"/>
              <w:rPr>
                <w:rFonts w:ascii="宋体" w:hAnsi="宋体" w:cs="宋体"/>
                <w:color w:val="auto"/>
                <w:szCs w:val="21"/>
                <w:highlight w:val="none"/>
              </w:rPr>
            </w:pPr>
          </w:p>
        </w:tc>
      </w:tr>
      <w:tr w14:paraId="474B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vMerge w:val="continue"/>
            <w:noWrap w:val="0"/>
            <w:vAlign w:val="center"/>
          </w:tcPr>
          <w:p w14:paraId="1BE62A8D">
            <w:pPr>
              <w:snapToGrid w:val="0"/>
              <w:spacing w:line="360" w:lineRule="auto"/>
              <w:rPr>
                <w:rFonts w:ascii="宋体" w:hAnsi="宋体" w:cs="宋体"/>
                <w:color w:val="auto"/>
                <w:szCs w:val="21"/>
                <w:highlight w:val="none"/>
              </w:rPr>
            </w:pPr>
          </w:p>
        </w:tc>
        <w:tc>
          <w:tcPr>
            <w:tcW w:w="3017" w:type="pct"/>
            <w:noWrap w:val="0"/>
            <w:vAlign w:val="center"/>
          </w:tcPr>
          <w:p w14:paraId="1EC09F64">
            <w:pPr>
              <w:widowControl/>
              <w:snapToGrid w:val="0"/>
              <w:spacing w:line="360" w:lineRule="auto"/>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6、病房院感知识应知应会</w:t>
            </w:r>
            <w:r>
              <w:rPr>
                <w:rFonts w:hint="eastAsia" w:ascii="宋体" w:hAnsi="宋体" w:cs="宋体"/>
                <w:color w:val="auto"/>
                <w:szCs w:val="21"/>
                <w:highlight w:val="none"/>
                <w:lang w:eastAsia="zh-CN"/>
              </w:rPr>
              <w:t>；</w:t>
            </w:r>
          </w:p>
        </w:tc>
        <w:tc>
          <w:tcPr>
            <w:tcW w:w="686" w:type="pct"/>
            <w:noWrap w:val="0"/>
            <w:vAlign w:val="center"/>
          </w:tcPr>
          <w:p w14:paraId="54477807">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w:t>
            </w:r>
          </w:p>
        </w:tc>
        <w:tc>
          <w:tcPr>
            <w:tcW w:w="635" w:type="pct"/>
            <w:noWrap w:val="0"/>
            <w:vAlign w:val="center"/>
          </w:tcPr>
          <w:p w14:paraId="1D0C74B5">
            <w:pPr>
              <w:snapToGrid w:val="0"/>
              <w:spacing w:line="360" w:lineRule="auto"/>
              <w:rPr>
                <w:rFonts w:ascii="宋体" w:hAnsi="宋体" w:cs="宋体"/>
                <w:color w:val="auto"/>
                <w:szCs w:val="21"/>
                <w:highlight w:val="none"/>
              </w:rPr>
            </w:pPr>
          </w:p>
        </w:tc>
      </w:tr>
      <w:tr w14:paraId="0519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62" w:type="pct"/>
            <w:noWrap w:val="0"/>
            <w:vAlign w:val="center"/>
          </w:tcPr>
          <w:p w14:paraId="016C5594">
            <w:pPr>
              <w:widowControl/>
              <w:snapToGrid w:val="0"/>
              <w:spacing w:line="360" w:lineRule="auto"/>
              <w:textAlignment w:val="center"/>
              <w:rPr>
                <w:rFonts w:ascii="宋体" w:hAnsi="宋体" w:cs="宋体"/>
                <w:color w:val="auto"/>
                <w:szCs w:val="21"/>
                <w:highlight w:val="none"/>
              </w:rPr>
            </w:pPr>
            <w:r>
              <w:rPr>
                <w:rFonts w:hint="eastAsia" w:ascii="宋体" w:hAnsi="宋体" w:cs="宋体"/>
                <w:color w:val="auto"/>
                <w:szCs w:val="21"/>
                <w:highlight w:val="none"/>
              </w:rPr>
              <w:t>总分</w:t>
            </w:r>
          </w:p>
        </w:tc>
        <w:tc>
          <w:tcPr>
            <w:tcW w:w="3017" w:type="pct"/>
            <w:noWrap w:val="0"/>
            <w:vAlign w:val="center"/>
          </w:tcPr>
          <w:p w14:paraId="4A6F8A2E">
            <w:pPr>
              <w:snapToGrid w:val="0"/>
              <w:spacing w:line="360" w:lineRule="auto"/>
              <w:rPr>
                <w:rFonts w:ascii="宋体" w:hAnsi="宋体" w:cs="宋体"/>
                <w:color w:val="auto"/>
                <w:szCs w:val="21"/>
                <w:highlight w:val="none"/>
              </w:rPr>
            </w:pPr>
          </w:p>
        </w:tc>
        <w:tc>
          <w:tcPr>
            <w:tcW w:w="686" w:type="pct"/>
            <w:noWrap w:val="0"/>
            <w:vAlign w:val="center"/>
          </w:tcPr>
          <w:p w14:paraId="292955D1">
            <w:pPr>
              <w:widowControl/>
              <w:snapToGrid w:val="0"/>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rPr>
              <w:t>100</w:t>
            </w:r>
          </w:p>
        </w:tc>
        <w:tc>
          <w:tcPr>
            <w:tcW w:w="635" w:type="pct"/>
            <w:noWrap w:val="0"/>
            <w:vAlign w:val="center"/>
          </w:tcPr>
          <w:p w14:paraId="1ED75E91">
            <w:pPr>
              <w:widowControl/>
              <w:snapToGrid w:val="0"/>
              <w:spacing w:line="360" w:lineRule="auto"/>
              <w:textAlignment w:val="center"/>
              <w:rPr>
                <w:rFonts w:ascii="宋体" w:hAnsi="宋体" w:cs="宋体"/>
                <w:color w:val="auto"/>
                <w:szCs w:val="21"/>
                <w:highlight w:val="none"/>
              </w:rPr>
            </w:pPr>
          </w:p>
        </w:tc>
      </w:tr>
    </w:tbl>
    <w:p w14:paraId="0AEC78B4">
      <w:pPr>
        <w:rPr>
          <w:rFonts w:ascii="宋体" w:hAnsi="宋体" w:cs="宋体"/>
          <w:b/>
          <w:bCs/>
          <w:color w:val="auto"/>
          <w:szCs w:val="21"/>
          <w:highlight w:val="none"/>
          <w:lang w:bidi="ar"/>
        </w:rPr>
      </w:pPr>
    </w:p>
    <w:p w14:paraId="10C25C21">
      <w:pPr>
        <w:rPr>
          <w:rFonts w:ascii="宋体" w:hAnsi="宋体" w:cs="宋体"/>
          <w:b/>
          <w:bCs/>
          <w:color w:val="auto"/>
          <w:szCs w:val="21"/>
          <w:highlight w:val="none"/>
          <w:lang w:bidi="ar"/>
        </w:rPr>
      </w:pPr>
      <w:r>
        <w:rPr>
          <w:rFonts w:hint="eastAsia" w:ascii="宋体" w:hAnsi="宋体" w:cs="宋体"/>
          <w:b/>
          <w:bCs/>
          <w:color w:val="auto"/>
          <w:szCs w:val="21"/>
          <w:highlight w:val="none"/>
          <w:lang w:bidi="ar"/>
        </w:rPr>
        <w:br w:type="page"/>
      </w:r>
    </w:p>
    <w:p w14:paraId="3DAD90E0">
      <w:pPr>
        <w:bidi w:val="0"/>
        <w:rPr>
          <w:rFonts w:hint="eastAsia"/>
          <w:color w:val="auto"/>
          <w:highlight w:val="none"/>
        </w:rPr>
      </w:pPr>
    </w:p>
    <w:p w14:paraId="6CEC039F">
      <w:pPr>
        <w:jc w:val="center"/>
        <w:outlineLvl w:val="3"/>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t>安保工作质量月度考核表</w:t>
      </w:r>
    </w:p>
    <w:p w14:paraId="449DCD1D">
      <w:pPr>
        <w:pStyle w:val="2"/>
        <w:numPr>
          <w:ilvl w:val="0"/>
          <w:numId w:val="0"/>
        </w:numPr>
        <w:ind w:left="420" w:leftChars="0"/>
        <w:rPr>
          <w:color w:val="auto"/>
          <w:highlight w:val="none"/>
        </w:rPr>
      </w:pPr>
    </w:p>
    <w:tbl>
      <w:tblPr>
        <w:tblStyle w:val="38"/>
        <w:tblW w:w="5000" w:type="pct"/>
        <w:jc w:val="center"/>
        <w:tblLayout w:type="autofit"/>
        <w:tblCellMar>
          <w:top w:w="0" w:type="dxa"/>
          <w:left w:w="108" w:type="dxa"/>
          <w:bottom w:w="0" w:type="dxa"/>
          <w:right w:w="108" w:type="dxa"/>
        </w:tblCellMar>
      </w:tblPr>
      <w:tblGrid>
        <w:gridCol w:w="1479"/>
        <w:gridCol w:w="5265"/>
        <w:gridCol w:w="1570"/>
        <w:gridCol w:w="855"/>
      </w:tblGrid>
      <w:tr w14:paraId="1DDB8524">
        <w:tblPrEx>
          <w:tblCellMar>
            <w:top w:w="0" w:type="dxa"/>
            <w:left w:w="108" w:type="dxa"/>
            <w:bottom w:w="0" w:type="dxa"/>
            <w:right w:w="108" w:type="dxa"/>
          </w:tblCellMar>
        </w:tblPrEx>
        <w:trPr>
          <w:trHeight w:val="20" w:hRule="atLeast"/>
          <w:jc w:val="center"/>
        </w:trPr>
        <w:tc>
          <w:tcPr>
            <w:tcW w:w="807" w:type="pct"/>
            <w:tcBorders>
              <w:top w:val="single" w:color="000000" w:sz="4" w:space="0"/>
              <w:left w:val="single" w:color="000000" w:sz="4" w:space="0"/>
              <w:bottom w:val="single" w:color="000000" w:sz="4" w:space="0"/>
              <w:right w:val="single" w:color="000000" w:sz="4" w:space="0"/>
            </w:tcBorders>
            <w:noWrap w:val="0"/>
            <w:vAlign w:val="center"/>
          </w:tcPr>
          <w:p w14:paraId="3DD496CA">
            <w:pPr>
              <w:widowControl/>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lang w:bidi="ar"/>
              </w:rPr>
              <w:t>项目</w:t>
            </w: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2ACD32FC">
            <w:pPr>
              <w:widowControl/>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lang w:bidi="ar"/>
              </w:rPr>
              <w:t>考  核  内  容</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0968083F">
            <w:pPr>
              <w:widowControl/>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lang w:bidi="ar"/>
              </w:rPr>
              <w:t>标准分</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08999427">
            <w:pPr>
              <w:widowControl/>
              <w:spacing w:line="360" w:lineRule="auto"/>
              <w:jc w:val="center"/>
              <w:textAlignment w:val="center"/>
              <w:rPr>
                <w:rFonts w:ascii="宋体" w:hAnsi="宋体" w:cs="宋体"/>
                <w:b/>
                <w:bCs/>
                <w:color w:val="auto"/>
                <w:szCs w:val="21"/>
                <w:highlight w:val="none"/>
              </w:rPr>
            </w:pPr>
            <w:r>
              <w:rPr>
                <w:rFonts w:hint="eastAsia" w:ascii="宋体" w:hAnsi="宋体" w:cs="宋体"/>
                <w:b/>
                <w:bCs/>
                <w:color w:val="auto"/>
                <w:szCs w:val="21"/>
                <w:highlight w:val="none"/>
                <w:lang w:bidi="ar"/>
              </w:rPr>
              <w:t>得分</w:t>
            </w:r>
          </w:p>
        </w:tc>
      </w:tr>
      <w:tr w14:paraId="355A0F30">
        <w:tblPrEx>
          <w:tblCellMar>
            <w:top w:w="0" w:type="dxa"/>
            <w:left w:w="108" w:type="dxa"/>
            <w:bottom w:w="0" w:type="dxa"/>
            <w:right w:w="108" w:type="dxa"/>
          </w:tblCellMar>
        </w:tblPrEx>
        <w:trPr>
          <w:trHeight w:val="199" w:hRule="atLeast"/>
          <w:jc w:val="center"/>
        </w:trPr>
        <w:tc>
          <w:tcPr>
            <w:tcW w:w="807" w:type="pct"/>
            <w:tcBorders>
              <w:top w:val="single" w:color="000000" w:sz="4" w:space="0"/>
              <w:left w:val="single" w:color="000000" w:sz="4" w:space="0"/>
              <w:right w:val="single" w:color="000000" w:sz="4" w:space="0"/>
            </w:tcBorders>
            <w:noWrap w:val="0"/>
            <w:vAlign w:val="center"/>
          </w:tcPr>
          <w:p w14:paraId="651B97C4">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仪容仪表（5）</w:t>
            </w: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37A01180">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着装规范，行为端庄，佩戴工号牌</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right w:val="single" w:color="000000" w:sz="4" w:space="0"/>
            </w:tcBorders>
            <w:noWrap w:val="0"/>
            <w:vAlign w:val="center"/>
          </w:tcPr>
          <w:p w14:paraId="6D211681">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466" w:type="pct"/>
            <w:tcBorders>
              <w:top w:val="single" w:color="000000" w:sz="4" w:space="0"/>
              <w:left w:val="single" w:color="000000" w:sz="4" w:space="0"/>
              <w:right w:val="single" w:color="000000" w:sz="4" w:space="0"/>
            </w:tcBorders>
            <w:noWrap w:val="0"/>
            <w:vAlign w:val="center"/>
          </w:tcPr>
          <w:p w14:paraId="25E91FB0">
            <w:pPr>
              <w:widowControl/>
              <w:spacing w:line="360" w:lineRule="auto"/>
              <w:jc w:val="center"/>
              <w:textAlignment w:val="center"/>
              <w:rPr>
                <w:rFonts w:ascii="宋体" w:hAnsi="宋体" w:cs="宋体"/>
                <w:color w:val="auto"/>
                <w:szCs w:val="21"/>
                <w:highlight w:val="none"/>
              </w:rPr>
            </w:pPr>
          </w:p>
        </w:tc>
      </w:tr>
      <w:tr w14:paraId="76D55ABA">
        <w:tblPrEx>
          <w:tblCellMar>
            <w:top w:w="0" w:type="dxa"/>
            <w:left w:w="108" w:type="dxa"/>
            <w:bottom w:w="0" w:type="dxa"/>
            <w:right w:w="108" w:type="dxa"/>
          </w:tblCellMar>
        </w:tblPrEx>
        <w:trPr>
          <w:trHeight w:val="389" w:hRule="atLeast"/>
          <w:jc w:val="center"/>
        </w:trPr>
        <w:tc>
          <w:tcPr>
            <w:tcW w:w="807" w:type="pct"/>
            <w:tcBorders>
              <w:top w:val="single" w:color="000000" w:sz="4" w:space="0"/>
              <w:left w:val="single" w:color="000000" w:sz="4" w:space="0"/>
              <w:bottom w:val="single" w:color="000000" w:sz="4" w:space="0"/>
              <w:right w:val="single" w:color="000000" w:sz="4" w:space="0"/>
            </w:tcBorders>
            <w:noWrap w:val="0"/>
            <w:vAlign w:val="center"/>
          </w:tcPr>
          <w:p w14:paraId="7BF84D5D">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服务态度（5）</w:t>
            </w: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78456DAB">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文明执勤、举止规范，禁用忌语，不与工作人员、患者及家属发生争执</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7922BE13">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0070E936">
            <w:pPr>
              <w:widowControl/>
              <w:spacing w:line="360" w:lineRule="auto"/>
              <w:jc w:val="center"/>
              <w:textAlignment w:val="center"/>
              <w:rPr>
                <w:rFonts w:ascii="宋体" w:hAnsi="宋体" w:cs="宋体"/>
                <w:color w:val="auto"/>
                <w:szCs w:val="21"/>
                <w:highlight w:val="none"/>
              </w:rPr>
            </w:pPr>
          </w:p>
        </w:tc>
      </w:tr>
      <w:tr w14:paraId="4507F08A">
        <w:tblPrEx>
          <w:tblCellMar>
            <w:top w:w="0" w:type="dxa"/>
            <w:left w:w="108" w:type="dxa"/>
            <w:bottom w:w="0" w:type="dxa"/>
            <w:right w:w="108" w:type="dxa"/>
          </w:tblCellMar>
        </w:tblPrEx>
        <w:trPr>
          <w:trHeight w:val="397" w:hRule="atLeast"/>
          <w:jc w:val="center"/>
        </w:trPr>
        <w:tc>
          <w:tcPr>
            <w:tcW w:w="807" w:type="pct"/>
            <w:tcBorders>
              <w:top w:val="single" w:color="000000" w:sz="4" w:space="0"/>
              <w:left w:val="single" w:color="000000" w:sz="4" w:space="0"/>
              <w:bottom w:val="nil"/>
              <w:right w:val="nil"/>
            </w:tcBorders>
            <w:noWrap w:val="0"/>
            <w:vAlign w:val="center"/>
          </w:tcPr>
          <w:p w14:paraId="001A5CF6">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劳动纪律（10）</w:t>
            </w:r>
          </w:p>
        </w:tc>
        <w:tc>
          <w:tcPr>
            <w:tcW w:w="2871" w:type="pct"/>
            <w:tcBorders>
              <w:top w:val="single" w:color="000000" w:sz="4" w:space="0"/>
              <w:left w:val="single" w:color="000000" w:sz="4" w:space="0"/>
              <w:bottom w:val="nil"/>
              <w:right w:val="single" w:color="000000" w:sz="4" w:space="0"/>
            </w:tcBorders>
            <w:noWrap w:val="0"/>
            <w:vAlign w:val="center"/>
          </w:tcPr>
          <w:p w14:paraId="63A76AB4">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遵守劳动纪律，工作时间不得擅离职守</w:t>
            </w:r>
            <w:r>
              <w:rPr>
                <w:rFonts w:hint="eastAsia" w:ascii="宋体" w:hAnsi="宋体" w:cs="宋体"/>
                <w:color w:val="auto"/>
                <w:szCs w:val="21"/>
                <w:highlight w:val="none"/>
                <w:lang w:eastAsia="zh-CN" w:bidi="ar"/>
              </w:rPr>
              <w:t>；</w:t>
            </w:r>
          </w:p>
        </w:tc>
        <w:tc>
          <w:tcPr>
            <w:tcW w:w="856" w:type="pct"/>
            <w:tcBorders>
              <w:top w:val="single" w:color="000000" w:sz="4" w:space="0"/>
              <w:left w:val="nil"/>
              <w:bottom w:val="single" w:color="000000" w:sz="4" w:space="0"/>
              <w:right w:val="nil"/>
            </w:tcBorders>
            <w:noWrap w:val="0"/>
            <w:vAlign w:val="center"/>
          </w:tcPr>
          <w:p w14:paraId="42E1A26D">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466" w:type="pct"/>
            <w:tcBorders>
              <w:top w:val="single" w:color="000000" w:sz="4" w:space="0"/>
              <w:left w:val="single" w:color="000000" w:sz="4" w:space="0"/>
              <w:bottom w:val="nil"/>
              <w:right w:val="single" w:color="000000" w:sz="4" w:space="0"/>
            </w:tcBorders>
            <w:noWrap w:val="0"/>
            <w:vAlign w:val="center"/>
          </w:tcPr>
          <w:p w14:paraId="3D9AB955">
            <w:pPr>
              <w:widowControl/>
              <w:spacing w:line="360" w:lineRule="auto"/>
              <w:jc w:val="center"/>
              <w:textAlignment w:val="center"/>
              <w:rPr>
                <w:rFonts w:ascii="宋体" w:hAnsi="宋体" w:cs="宋体"/>
                <w:color w:val="auto"/>
                <w:szCs w:val="21"/>
                <w:highlight w:val="none"/>
              </w:rPr>
            </w:pPr>
          </w:p>
        </w:tc>
      </w:tr>
      <w:tr w14:paraId="1CCD1CEC">
        <w:tblPrEx>
          <w:tblCellMar>
            <w:top w:w="0" w:type="dxa"/>
            <w:left w:w="108" w:type="dxa"/>
            <w:bottom w:w="0" w:type="dxa"/>
            <w:right w:w="108" w:type="dxa"/>
          </w:tblCellMar>
        </w:tblPrEx>
        <w:trPr>
          <w:trHeight w:val="397" w:hRule="atLeast"/>
          <w:jc w:val="center"/>
        </w:trPr>
        <w:tc>
          <w:tcPr>
            <w:tcW w:w="807" w:type="pct"/>
            <w:vMerge w:val="restart"/>
            <w:tcBorders>
              <w:top w:val="single" w:color="000000" w:sz="4" w:space="0"/>
              <w:left w:val="single" w:color="000000" w:sz="4" w:space="0"/>
              <w:bottom w:val="single" w:color="000000" w:sz="4" w:space="0"/>
              <w:right w:val="single" w:color="000000" w:sz="4" w:space="0"/>
            </w:tcBorders>
            <w:noWrap w:val="0"/>
            <w:vAlign w:val="center"/>
          </w:tcPr>
          <w:p w14:paraId="0517E756">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突发事件（40）</w:t>
            </w: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45F56E7C">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1.提高警惕，对突发事件有充足的思想准备和行动快捷，做好盗情、匪情、灾害、抢劫、殴斗、医患纠纷的及时参与和现场保护工作</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061731AA">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20</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66DBE7B0">
            <w:pPr>
              <w:widowControl/>
              <w:spacing w:line="360" w:lineRule="auto"/>
              <w:jc w:val="center"/>
              <w:textAlignment w:val="center"/>
              <w:rPr>
                <w:rFonts w:ascii="宋体" w:hAnsi="宋体" w:cs="宋体"/>
                <w:color w:val="auto"/>
                <w:szCs w:val="21"/>
                <w:highlight w:val="none"/>
              </w:rPr>
            </w:pPr>
          </w:p>
        </w:tc>
      </w:tr>
      <w:tr w14:paraId="654445B1">
        <w:tblPrEx>
          <w:tblCellMar>
            <w:top w:w="0" w:type="dxa"/>
            <w:left w:w="108" w:type="dxa"/>
            <w:bottom w:w="0" w:type="dxa"/>
            <w:right w:w="108" w:type="dxa"/>
          </w:tblCellMar>
        </w:tblPrEx>
        <w:trPr>
          <w:trHeight w:val="397" w:hRule="atLeast"/>
          <w:jc w:val="center"/>
        </w:trPr>
        <w:tc>
          <w:tcPr>
            <w:tcW w:w="80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7BB9C8">
            <w:pPr>
              <w:spacing w:line="360" w:lineRule="auto"/>
              <w:jc w:val="center"/>
              <w:rPr>
                <w:rFonts w:ascii="宋体" w:hAnsi="宋体" w:cs="宋体"/>
                <w:color w:val="auto"/>
                <w:szCs w:val="21"/>
                <w:highlight w:val="none"/>
              </w:rPr>
            </w:pPr>
          </w:p>
        </w:tc>
        <w:tc>
          <w:tcPr>
            <w:tcW w:w="2871" w:type="pct"/>
            <w:tcBorders>
              <w:top w:val="single" w:color="000000" w:sz="4" w:space="0"/>
              <w:left w:val="single" w:color="000000" w:sz="4" w:space="0"/>
              <w:bottom w:val="single" w:color="000000" w:sz="4" w:space="0"/>
              <w:right w:val="nil"/>
            </w:tcBorders>
            <w:noWrap w:val="0"/>
            <w:vAlign w:val="center"/>
          </w:tcPr>
          <w:p w14:paraId="5456D4F6">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2.重大可疑案发现场的保护和及时汇报</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0DE4CE31">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3219AD08">
            <w:pPr>
              <w:widowControl/>
              <w:spacing w:line="360" w:lineRule="auto"/>
              <w:jc w:val="center"/>
              <w:textAlignment w:val="center"/>
              <w:rPr>
                <w:rFonts w:ascii="宋体" w:hAnsi="宋体" w:cs="宋体"/>
                <w:color w:val="auto"/>
                <w:szCs w:val="21"/>
                <w:highlight w:val="none"/>
              </w:rPr>
            </w:pPr>
          </w:p>
        </w:tc>
      </w:tr>
      <w:tr w14:paraId="61CE6466">
        <w:tblPrEx>
          <w:tblCellMar>
            <w:top w:w="0" w:type="dxa"/>
            <w:left w:w="108" w:type="dxa"/>
            <w:bottom w:w="0" w:type="dxa"/>
            <w:right w:w="108" w:type="dxa"/>
          </w:tblCellMar>
        </w:tblPrEx>
        <w:trPr>
          <w:trHeight w:val="389" w:hRule="atLeast"/>
          <w:jc w:val="center"/>
        </w:trPr>
        <w:tc>
          <w:tcPr>
            <w:tcW w:w="80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14C757">
            <w:pPr>
              <w:spacing w:line="360" w:lineRule="auto"/>
              <w:jc w:val="center"/>
              <w:rPr>
                <w:rFonts w:ascii="宋体" w:hAnsi="宋体" w:cs="宋体"/>
                <w:color w:val="auto"/>
                <w:szCs w:val="21"/>
                <w:highlight w:val="none"/>
              </w:rPr>
            </w:pPr>
          </w:p>
        </w:tc>
        <w:tc>
          <w:tcPr>
            <w:tcW w:w="2871" w:type="pct"/>
            <w:tcBorders>
              <w:top w:val="single" w:color="000000" w:sz="4" w:space="0"/>
              <w:left w:val="single" w:color="000000" w:sz="4" w:space="0"/>
              <w:bottom w:val="single" w:color="000000" w:sz="4" w:space="0"/>
              <w:right w:val="nil"/>
            </w:tcBorders>
            <w:noWrap w:val="0"/>
            <w:vAlign w:val="center"/>
          </w:tcPr>
          <w:p w14:paraId="6AB8E09F">
            <w:pPr>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3.“四防”工作落实</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5A31F93E">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771052AD">
            <w:pPr>
              <w:spacing w:line="360" w:lineRule="auto"/>
              <w:jc w:val="center"/>
              <w:rPr>
                <w:rFonts w:ascii="宋体" w:hAnsi="宋体" w:cs="宋体"/>
                <w:color w:val="auto"/>
                <w:szCs w:val="21"/>
                <w:highlight w:val="none"/>
              </w:rPr>
            </w:pPr>
          </w:p>
        </w:tc>
      </w:tr>
      <w:tr w14:paraId="6C41F826">
        <w:tblPrEx>
          <w:tblCellMar>
            <w:top w:w="0" w:type="dxa"/>
            <w:left w:w="108" w:type="dxa"/>
            <w:bottom w:w="0" w:type="dxa"/>
            <w:right w:w="108" w:type="dxa"/>
          </w:tblCellMar>
        </w:tblPrEx>
        <w:trPr>
          <w:trHeight w:val="409" w:hRule="atLeast"/>
          <w:jc w:val="center"/>
        </w:trPr>
        <w:tc>
          <w:tcPr>
            <w:tcW w:w="807" w:type="pct"/>
            <w:vMerge w:val="restart"/>
            <w:tcBorders>
              <w:top w:val="single" w:color="000000" w:sz="4" w:space="0"/>
              <w:left w:val="single" w:color="000000" w:sz="4" w:space="0"/>
              <w:bottom w:val="nil"/>
              <w:right w:val="single" w:color="000000" w:sz="4" w:space="0"/>
            </w:tcBorders>
            <w:noWrap w:val="0"/>
            <w:vAlign w:val="center"/>
          </w:tcPr>
          <w:p w14:paraId="61F9F376">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工作质量（40）</w:t>
            </w:r>
          </w:p>
        </w:tc>
        <w:tc>
          <w:tcPr>
            <w:tcW w:w="2871" w:type="pct"/>
            <w:vMerge w:val="restart"/>
            <w:tcBorders>
              <w:top w:val="single" w:color="000000" w:sz="4" w:space="0"/>
              <w:left w:val="single" w:color="000000" w:sz="4" w:space="0"/>
              <w:bottom w:val="nil"/>
              <w:right w:val="single" w:color="000000" w:sz="4" w:space="0"/>
            </w:tcBorders>
            <w:noWrap w:val="0"/>
            <w:vAlign w:val="center"/>
          </w:tcPr>
          <w:p w14:paraId="199C678E">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bidi="ar"/>
              </w:rPr>
              <w:t>工作认真负责、主动热情，为患者指点就诊方向，维护好就医秩序，爱护公物。维护就诊秩序，严格控制特殊区域的出入人员</w:t>
            </w:r>
            <w:r>
              <w:rPr>
                <w:rFonts w:hint="eastAsia" w:ascii="宋体" w:hAnsi="宋体" w:cs="宋体"/>
                <w:color w:val="auto"/>
                <w:szCs w:val="21"/>
                <w:highlight w:val="none"/>
                <w:lang w:eastAsia="zh-CN" w:bidi="ar"/>
              </w:rPr>
              <w:t>；</w:t>
            </w:r>
          </w:p>
        </w:tc>
        <w:tc>
          <w:tcPr>
            <w:tcW w:w="856" w:type="pct"/>
            <w:vMerge w:val="restart"/>
            <w:tcBorders>
              <w:top w:val="single" w:color="000000" w:sz="4" w:space="0"/>
              <w:left w:val="single" w:color="000000" w:sz="4" w:space="0"/>
              <w:bottom w:val="nil"/>
              <w:right w:val="single" w:color="000000" w:sz="4" w:space="0"/>
            </w:tcBorders>
            <w:noWrap w:val="0"/>
            <w:vAlign w:val="center"/>
          </w:tcPr>
          <w:p w14:paraId="00B653B9">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15</w:t>
            </w:r>
          </w:p>
        </w:tc>
        <w:tc>
          <w:tcPr>
            <w:tcW w:w="466" w:type="pct"/>
            <w:vMerge w:val="restart"/>
            <w:tcBorders>
              <w:top w:val="single" w:color="000000" w:sz="4" w:space="0"/>
              <w:left w:val="single" w:color="000000" w:sz="4" w:space="0"/>
              <w:bottom w:val="nil"/>
              <w:right w:val="single" w:color="000000" w:sz="4" w:space="0"/>
            </w:tcBorders>
            <w:noWrap w:val="0"/>
            <w:vAlign w:val="center"/>
          </w:tcPr>
          <w:p w14:paraId="1E7D8133">
            <w:pPr>
              <w:widowControl/>
              <w:spacing w:line="360" w:lineRule="auto"/>
              <w:jc w:val="center"/>
              <w:textAlignment w:val="center"/>
              <w:rPr>
                <w:rFonts w:ascii="宋体" w:hAnsi="宋体" w:cs="宋体"/>
                <w:color w:val="auto"/>
                <w:szCs w:val="21"/>
                <w:highlight w:val="none"/>
              </w:rPr>
            </w:pPr>
          </w:p>
        </w:tc>
      </w:tr>
      <w:tr w14:paraId="0624F4EF">
        <w:tblPrEx>
          <w:tblCellMar>
            <w:top w:w="0" w:type="dxa"/>
            <w:left w:w="108" w:type="dxa"/>
            <w:bottom w:w="0" w:type="dxa"/>
            <w:right w:w="108" w:type="dxa"/>
          </w:tblCellMar>
        </w:tblPrEx>
        <w:trPr>
          <w:trHeight w:val="409" w:hRule="atLeast"/>
          <w:jc w:val="center"/>
        </w:trPr>
        <w:tc>
          <w:tcPr>
            <w:tcW w:w="807" w:type="pct"/>
            <w:vMerge w:val="continue"/>
            <w:tcBorders>
              <w:top w:val="single" w:color="000000" w:sz="4" w:space="0"/>
              <w:left w:val="single" w:color="000000" w:sz="4" w:space="0"/>
              <w:bottom w:val="nil"/>
              <w:right w:val="single" w:color="000000" w:sz="4" w:space="0"/>
            </w:tcBorders>
            <w:noWrap w:val="0"/>
            <w:vAlign w:val="center"/>
          </w:tcPr>
          <w:p w14:paraId="3408C119">
            <w:pPr>
              <w:spacing w:line="360" w:lineRule="auto"/>
              <w:jc w:val="center"/>
              <w:rPr>
                <w:rFonts w:ascii="宋体" w:hAnsi="宋体" w:cs="宋体"/>
                <w:color w:val="auto"/>
                <w:szCs w:val="21"/>
                <w:highlight w:val="none"/>
              </w:rPr>
            </w:pPr>
          </w:p>
        </w:tc>
        <w:tc>
          <w:tcPr>
            <w:tcW w:w="2871" w:type="pct"/>
            <w:vMerge w:val="continue"/>
            <w:tcBorders>
              <w:top w:val="single" w:color="000000" w:sz="4" w:space="0"/>
              <w:left w:val="single" w:color="000000" w:sz="4" w:space="0"/>
              <w:bottom w:val="nil"/>
              <w:right w:val="single" w:color="000000" w:sz="4" w:space="0"/>
            </w:tcBorders>
            <w:noWrap w:val="0"/>
            <w:vAlign w:val="center"/>
          </w:tcPr>
          <w:p w14:paraId="1D941270">
            <w:pPr>
              <w:spacing w:line="360" w:lineRule="auto"/>
              <w:jc w:val="left"/>
              <w:rPr>
                <w:rFonts w:ascii="宋体" w:hAnsi="宋体" w:cs="宋体"/>
                <w:color w:val="auto"/>
                <w:szCs w:val="21"/>
                <w:highlight w:val="none"/>
              </w:rPr>
            </w:pPr>
          </w:p>
        </w:tc>
        <w:tc>
          <w:tcPr>
            <w:tcW w:w="856" w:type="pct"/>
            <w:vMerge w:val="continue"/>
            <w:tcBorders>
              <w:top w:val="single" w:color="000000" w:sz="4" w:space="0"/>
              <w:left w:val="single" w:color="000000" w:sz="4" w:space="0"/>
              <w:bottom w:val="nil"/>
              <w:right w:val="single" w:color="000000" w:sz="4" w:space="0"/>
            </w:tcBorders>
            <w:noWrap w:val="0"/>
            <w:vAlign w:val="center"/>
          </w:tcPr>
          <w:p w14:paraId="24E649E3">
            <w:pPr>
              <w:spacing w:line="360" w:lineRule="auto"/>
              <w:jc w:val="center"/>
              <w:rPr>
                <w:rFonts w:ascii="宋体" w:hAnsi="宋体" w:cs="宋体"/>
                <w:color w:val="auto"/>
                <w:szCs w:val="21"/>
                <w:highlight w:val="none"/>
              </w:rPr>
            </w:pPr>
          </w:p>
        </w:tc>
        <w:tc>
          <w:tcPr>
            <w:tcW w:w="466" w:type="pct"/>
            <w:vMerge w:val="continue"/>
            <w:tcBorders>
              <w:top w:val="single" w:color="000000" w:sz="4" w:space="0"/>
              <w:left w:val="single" w:color="000000" w:sz="4" w:space="0"/>
              <w:bottom w:val="nil"/>
              <w:right w:val="single" w:color="000000" w:sz="4" w:space="0"/>
            </w:tcBorders>
            <w:noWrap w:val="0"/>
            <w:vAlign w:val="center"/>
          </w:tcPr>
          <w:p w14:paraId="0B3BAA04">
            <w:pPr>
              <w:spacing w:line="360" w:lineRule="auto"/>
              <w:jc w:val="center"/>
              <w:rPr>
                <w:rFonts w:ascii="宋体" w:hAnsi="宋体" w:cs="宋体"/>
                <w:color w:val="auto"/>
                <w:szCs w:val="21"/>
                <w:highlight w:val="none"/>
              </w:rPr>
            </w:pPr>
          </w:p>
        </w:tc>
      </w:tr>
      <w:tr w14:paraId="0168304A">
        <w:tblPrEx>
          <w:tblCellMar>
            <w:top w:w="0" w:type="dxa"/>
            <w:left w:w="108" w:type="dxa"/>
            <w:bottom w:w="0" w:type="dxa"/>
            <w:right w:w="108" w:type="dxa"/>
          </w:tblCellMar>
        </w:tblPrEx>
        <w:trPr>
          <w:trHeight w:val="397" w:hRule="atLeast"/>
          <w:jc w:val="center"/>
        </w:trPr>
        <w:tc>
          <w:tcPr>
            <w:tcW w:w="807" w:type="pct"/>
            <w:vMerge w:val="continue"/>
            <w:tcBorders>
              <w:top w:val="single" w:color="000000" w:sz="4" w:space="0"/>
              <w:left w:val="single" w:color="000000" w:sz="4" w:space="0"/>
              <w:bottom w:val="nil"/>
              <w:right w:val="single" w:color="000000" w:sz="4" w:space="0"/>
            </w:tcBorders>
            <w:noWrap w:val="0"/>
            <w:vAlign w:val="center"/>
          </w:tcPr>
          <w:p w14:paraId="4EE9B17C">
            <w:pPr>
              <w:spacing w:line="360" w:lineRule="auto"/>
              <w:jc w:val="center"/>
              <w:rPr>
                <w:rFonts w:ascii="宋体" w:hAnsi="宋体" w:cs="宋体"/>
                <w:color w:val="auto"/>
                <w:szCs w:val="21"/>
                <w:highlight w:val="none"/>
              </w:rPr>
            </w:pP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594E6D72">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2.严格执勤，“医托”“散小报”不得进入</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0D5F0BA9">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0322A6A6">
            <w:pPr>
              <w:widowControl/>
              <w:spacing w:line="360" w:lineRule="auto"/>
              <w:jc w:val="center"/>
              <w:textAlignment w:val="center"/>
              <w:rPr>
                <w:rFonts w:ascii="宋体" w:hAnsi="宋体" w:cs="宋体"/>
                <w:color w:val="auto"/>
                <w:szCs w:val="21"/>
                <w:highlight w:val="none"/>
              </w:rPr>
            </w:pPr>
          </w:p>
        </w:tc>
      </w:tr>
      <w:tr w14:paraId="173DE14E">
        <w:tblPrEx>
          <w:tblCellMar>
            <w:top w:w="0" w:type="dxa"/>
            <w:left w:w="108" w:type="dxa"/>
            <w:bottom w:w="0" w:type="dxa"/>
            <w:right w:w="108" w:type="dxa"/>
          </w:tblCellMar>
        </w:tblPrEx>
        <w:trPr>
          <w:trHeight w:val="389" w:hRule="atLeast"/>
          <w:jc w:val="center"/>
        </w:trPr>
        <w:tc>
          <w:tcPr>
            <w:tcW w:w="807" w:type="pct"/>
            <w:vMerge w:val="continue"/>
            <w:tcBorders>
              <w:top w:val="single" w:color="000000" w:sz="4" w:space="0"/>
              <w:left w:val="single" w:color="000000" w:sz="4" w:space="0"/>
              <w:bottom w:val="nil"/>
              <w:right w:val="single" w:color="000000" w:sz="4" w:space="0"/>
            </w:tcBorders>
            <w:noWrap w:val="0"/>
            <w:vAlign w:val="center"/>
          </w:tcPr>
          <w:p w14:paraId="0785D243">
            <w:pPr>
              <w:spacing w:line="360" w:lineRule="auto"/>
              <w:jc w:val="center"/>
              <w:rPr>
                <w:rFonts w:ascii="宋体" w:hAnsi="宋体" w:cs="宋体"/>
                <w:color w:val="auto"/>
                <w:szCs w:val="21"/>
                <w:highlight w:val="none"/>
              </w:rPr>
            </w:pP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08A20CFF">
            <w:pPr>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3.</w:t>
            </w:r>
            <w:r>
              <w:rPr>
                <w:rFonts w:hint="eastAsia" w:ascii="宋体" w:hAnsi="宋体" w:cs="宋体"/>
                <w:color w:val="auto"/>
                <w:szCs w:val="21"/>
                <w:highlight w:val="none"/>
                <w:lang w:val="en-US" w:eastAsia="zh-CN" w:bidi="ar"/>
              </w:rPr>
              <w:t>车辆管理，</w:t>
            </w:r>
            <w:r>
              <w:rPr>
                <w:rFonts w:hint="eastAsia" w:ascii="宋体" w:hAnsi="宋体" w:cs="宋体"/>
                <w:color w:val="auto"/>
                <w:szCs w:val="21"/>
                <w:highlight w:val="none"/>
                <w:lang w:bidi="ar"/>
              </w:rPr>
              <w:t>协助120门前车辆的停放工作</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08B86F81">
            <w:pPr>
              <w:spacing w:line="360" w:lineRule="auto"/>
              <w:jc w:val="center"/>
              <w:rPr>
                <w:rFonts w:ascii="宋体" w:hAnsi="宋体" w:cs="宋体"/>
                <w:color w:val="auto"/>
                <w:szCs w:val="21"/>
                <w:highlight w:val="none"/>
              </w:rPr>
            </w:pPr>
            <w:r>
              <w:rPr>
                <w:rFonts w:hint="eastAsia" w:ascii="宋体" w:hAnsi="宋体" w:cs="宋体"/>
                <w:color w:val="auto"/>
                <w:szCs w:val="21"/>
                <w:highlight w:val="none"/>
                <w:lang w:bidi="ar"/>
              </w:rPr>
              <w:t>10</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6B6E36DE">
            <w:pPr>
              <w:spacing w:line="360" w:lineRule="auto"/>
              <w:jc w:val="center"/>
              <w:rPr>
                <w:rFonts w:ascii="宋体" w:hAnsi="宋体" w:cs="宋体"/>
                <w:color w:val="auto"/>
                <w:szCs w:val="21"/>
                <w:highlight w:val="none"/>
              </w:rPr>
            </w:pPr>
          </w:p>
        </w:tc>
      </w:tr>
      <w:tr w14:paraId="143B61FA">
        <w:tblPrEx>
          <w:tblCellMar>
            <w:top w:w="0" w:type="dxa"/>
            <w:left w:w="108" w:type="dxa"/>
            <w:bottom w:w="0" w:type="dxa"/>
            <w:right w:w="108" w:type="dxa"/>
          </w:tblCellMar>
        </w:tblPrEx>
        <w:trPr>
          <w:trHeight w:val="20" w:hRule="atLeast"/>
          <w:jc w:val="center"/>
        </w:trPr>
        <w:tc>
          <w:tcPr>
            <w:tcW w:w="807" w:type="pct"/>
            <w:vMerge w:val="continue"/>
            <w:tcBorders>
              <w:top w:val="single" w:color="000000" w:sz="4" w:space="0"/>
              <w:left w:val="single" w:color="000000" w:sz="4" w:space="0"/>
              <w:bottom w:val="nil"/>
              <w:right w:val="single" w:color="000000" w:sz="4" w:space="0"/>
            </w:tcBorders>
            <w:noWrap w:val="0"/>
            <w:vAlign w:val="center"/>
          </w:tcPr>
          <w:p w14:paraId="1B8B010C">
            <w:pPr>
              <w:spacing w:line="360" w:lineRule="auto"/>
              <w:jc w:val="center"/>
              <w:rPr>
                <w:rFonts w:ascii="宋体" w:hAnsi="宋体" w:cs="宋体"/>
                <w:color w:val="auto"/>
                <w:szCs w:val="21"/>
                <w:highlight w:val="none"/>
              </w:rPr>
            </w:pPr>
          </w:p>
        </w:tc>
        <w:tc>
          <w:tcPr>
            <w:tcW w:w="2871" w:type="pct"/>
            <w:tcBorders>
              <w:top w:val="nil"/>
              <w:left w:val="nil"/>
              <w:bottom w:val="nil"/>
              <w:right w:val="nil"/>
            </w:tcBorders>
            <w:noWrap w:val="0"/>
            <w:vAlign w:val="center"/>
          </w:tcPr>
          <w:p w14:paraId="5551277A">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4.紧急状态时，配合协助医护人员运送患者</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nil"/>
              <w:right w:val="single" w:color="000000" w:sz="4" w:space="0"/>
            </w:tcBorders>
            <w:noWrap w:val="0"/>
            <w:vAlign w:val="center"/>
          </w:tcPr>
          <w:p w14:paraId="0DEFB4B8">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466" w:type="pct"/>
            <w:tcBorders>
              <w:top w:val="single" w:color="000000" w:sz="4" w:space="0"/>
              <w:left w:val="single" w:color="000000" w:sz="4" w:space="0"/>
              <w:bottom w:val="nil"/>
              <w:right w:val="single" w:color="000000" w:sz="4" w:space="0"/>
            </w:tcBorders>
            <w:noWrap w:val="0"/>
            <w:vAlign w:val="center"/>
          </w:tcPr>
          <w:p w14:paraId="28864E0D">
            <w:pPr>
              <w:widowControl/>
              <w:spacing w:line="360" w:lineRule="auto"/>
              <w:jc w:val="center"/>
              <w:textAlignment w:val="center"/>
              <w:rPr>
                <w:rFonts w:ascii="宋体" w:hAnsi="宋体" w:cs="宋体"/>
                <w:color w:val="auto"/>
                <w:szCs w:val="21"/>
                <w:highlight w:val="none"/>
              </w:rPr>
            </w:pPr>
          </w:p>
        </w:tc>
      </w:tr>
      <w:tr w14:paraId="47D68C6D">
        <w:tblPrEx>
          <w:tblCellMar>
            <w:top w:w="0" w:type="dxa"/>
            <w:left w:w="108" w:type="dxa"/>
            <w:bottom w:w="0" w:type="dxa"/>
            <w:right w:w="108" w:type="dxa"/>
          </w:tblCellMar>
        </w:tblPrEx>
        <w:trPr>
          <w:trHeight w:val="20" w:hRule="atLeast"/>
          <w:jc w:val="center"/>
        </w:trPr>
        <w:tc>
          <w:tcPr>
            <w:tcW w:w="807" w:type="pct"/>
            <w:vMerge w:val="continue"/>
            <w:tcBorders>
              <w:top w:val="single" w:color="000000" w:sz="4" w:space="0"/>
              <w:left w:val="single" w:color="000000" w:sz="4" w:space="0"/>
              <w:bottom w:val="nil"/>
              <w:right w:val="single" w:color="000000" w:sz="4" w:space="0"/>
            </w:tcBorders>
            <w:noWrap w:val="0"/>
            <w:vAlign w:val="center"/>
          </w:tcPr>
          <w:p w14:paraId="42C48878">
            <w:pPr>
              <w:spacing w:line="360" w:lineRule="auto"/>
              <w:jc w:val="center"/>
              <w:rPr>
                <w:rFonts w:ascii="宋体" w:hAnsi="宋体" w:cs="宋体"/>
                <w:color w:val="auto"/>
                <w:szCs w:val="21"/>
                <w:highlight w:val="none"/>
              </w:rPr>
            </w:pPr>
          </w:p>
        </w:tc>
        <w:tc>
          <w:tcPr>
            <w:tcW w:w="2871" w:type="pct"/>
            <w:tcBorders>
              <w:top w:val="single" w:color="000000" w:sz="4" w:space="0"/>
              <w:left w:val="single" w:color="000000" w:sz="4" w:space="0"/>
              <w:bottom w:val="single" w:color="000000" w:sz="4" w:space="0"/>
              <w:right w:val="nil"/>
            </w:tcBorders>
            <w:noWrap w:val="0"/>
            <w:vAlign w:val="center"/>
          </w:tcPr>
          <w:p w14:paraId="2055F243">
            <w:pPr>
              <w:widowControl/>
              <w:spacing w:line="360" w:lineRule="auto"/>
              <w:jc w:val="left"/>
              <w:textAlignment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5.夜间值勤应提高警惕，按时巡岗</w:t>
            </w:r>
            <w:r>
              <w:rPr>
                <w:rFonts w:hint="eastAsia" w:ascii="宋体" w:hAnsi="宋体" w:cs="宋体"/>
                <w:color w:val="auto"/>
                <w:szCs w:val="21"/>
                <w:highlight w:val="none"/>
                <w:lang w:eastAsia="zh-CN" w:bidi="ar"/>
              </w:rPr>
              <w:t>；</w:t>
            </w: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3DEFAF95">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5</w:t>
            </w:r>
          </w:p>
        </w:tc>
        <w:tc>
          <w:tcPr>
            <w:tcW w:w="466" w:type="pct"/>
            <w:tcBorders>
              <w:top w:val="single" w:color="000000" w:sz="4" w:space="0"/>
              <w:left w:val="single" w:color="000000" w:sz="4" w:space="0"/>
              <w:bottom w:val="nil"/>
              <w:right w:val="single" w:color="000000" w:sz="4" w:space="0"/>
            </w:tcBorders>
            <w:noWrap w:val="0"/>
            <w:vAlign w:val="center"/>
          </w:tcPr>
          <w:p w14:paraId="108448CA">
            <w:pPr>
              <w:widowControl/>
              <w:spacing w:line="360" w:lineRule="auto"/>
              <w:jc w:val="center"/>
              <w:textAlignment w:val="center"/>
              <w:rPr>
                <w:rFonts w:ascii="宋体" w:hAnsi="宋体" w:cs="宋体"/>
                <w:color w:val="auto"/>
                <w:szCs w:val="21"/>
                <w:highlight w:val="none"/>
              </w:rPr>
            </w:pPr>
          </w:p>
        </w:tc>
      </w:tr>
      <w:tr w14:paraId="0653353D">
        <w:tblPrEx>
          <w:tblCellMar>
            <w:top w:w="0" w:type="dxa"/>
            <w:left w:w="108" w:type="dxa"/>
            <w:bottom w:w="0" w:type="dxa"/>
            <w:right w:w="108" w:type="dxa"/>
          </w:tblCellMar>
        </w:tblPrEx>
        <w:trPr>
          <w:trHeight w:val="20" w:hRule="atLeast"/>
          <w:jc w:val="center"/>
        </w:trPr>
        <w:tc>
          <w:tcPr>
            <w:tcW w:w="807" w:type="pct"/>
            <w:tcBorders>
              <w:top w:val="single" w:color="000000" w:sz="4" w:space="0"/>
              <w:left w:val="single" w:color="000000" w:sz="4" w:space="0"/>
              <w:bottom w:val="single" w:color="000000" w:sz="4" w:space="0"/>
              <w:right w:val="single" w:color="000000" w:sz="4" w:space="0"/>
            </w:tcBorders>
            <w:noWrap w:val="0"/>
            <w:vAlign w:val="center"/>
          </w:tcPr>
          <w:p w14:paraId="056D47BB">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总分</w:t>
            </w:r>
          </w:p>
        </w:tc>
        <w:tc>
          <w:tcPr>
            <w:tcW w:w="2871" w:type="pct"/>
            <w:tcBorders>
              <w:top w:val="single" w:color="000000" w:sz="4" w:space="0"/>
              <w:left w:val="single" w:color="000000" w:sz="4" w:space="0"/>
              <w:bottom w:val="single" w:color="000000" w:sz="4" w:space="0"/>
              <w:right w:val="single" w:color="000000" w:sz="4" w:space="0"/>
            </w:tcBorders>
            <w:noWrap w:val="0"/>
            <w:vAlign w:val="center"/>
          </w:tcPr>
          <w:p w14:paraId="45FF7917">
            <w:pPr>
              <w:spacing w:line="360" w:lineRule="auto"/>
              <w:jc w:val="left"/>
              <w:rPr>
                <w:rFonts w:ascii="宋体" w:hAnsi="宋体" w:cs="宋体"/>
                <w:color w:val="auto"/>
                <w:szCs w:val="21"/>
                <w:highlight w:val="none"/>
              </w:rPr>
            </w:pPr>
          </w:p>
        </w:tc>
        <w:tc>
          <w:tcPr>
            <w:tcW w:w="856" w:type="pct"/>
            <w:tcBorders>
              <w:top w:val="single" w:color="000000" w:sz="4" w:space="0"/>
              <w:left w:val="single" w:color="000000" w:sz="4" w:space="0"/>
              <w:bottom w:val="single" w:color="000000" w:sz="4" w:space="0"/>
              <w:right w:val="single" w:color="000000" w:sz="4" w:space="0"/>
            </w:tcBorders>
            <w:noWrap w:val="0"/>
            <w:vAlign w:val="center"/>
          </w:tcPr>
          <w:p w14:paraId="6ABC289C">
            <w:pPr>
              <w:widowControl/>
              <w:spacing w:line="360" w:lineRule="auto"/>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100</w:t>
            </w:r>
          </w:p>
        </w:tc>
        <w:tc>
          <w:tcPr>
            <w:tcW w:w="466" w:type="pct"/>
            <w:tcBorders>
              <w:top w:val="single" w:color="000000" w:sz="4" w:space="0"/>
              <w:left w:val="single" w:color="000000" w:sz="4" w:space="0"/>
              <w:bottom w:val="single" w:color="000000" w:sz="4" w:space="0"/>
              <w:right w:val="single" w:color="000000" w:sz="4" w:space="0"/>
            </w:tcBorders>
            <w:noWrap w:val="0"/>
            <w:vAlign w:val="center"/>
          </w:tcPr>
          <w:p w14:paraId="66333D18">
            <w:pPr>
              <w:widowControl/>
              <w:spacing w:line="360" w:lineRule="auto"/>
              <w:jc w:val="center"/>
              <w:textAlignment w:val="center"/>
              <w:rPr>
                <w:rFonts w:ascii="宋体" w:hAnsi="宋体" w:cs="宋体"/>
                <w:color w:val="auto"/>
                <w:szCs w:val="21"/>
                <w:highlight w:val="none"/>
              </w:rPr>
            </w:pPr>
          </w:p>
        </w:tc>
      </w:tr>
    </w:tbl>
    <w:p w14:paraId="049888C1">
      <w:pPr>
        <w:rPr>
          <w:rFonts w:ascii="宋体" w:hAnsi="宋体" w:cs="宋体"/>
          <w:color w:val="auto"/>
          <w:highlight w:val="none"/>
        </w:rPr>
      </w:pPr>
    </w:p>
    <w:p w14:paraId="1DD8889B">
      <w:pPr>
        <w:rPr>
          <w:rFonts w:ascii="宋体" w:hAnsi="宋体" w:cs="宋体"/>
          <w:color w:val="auto"/>
          <w:highlight w:val="none"/>
          <w:lang w:bidi="ar"/>
        </w:rPr>
      </w:pPr>
    </w:p>
    <w:p w14:paraId="69D37BAF">
      <w:pPr>
        <w:rPr>
          <w:rFonts w:ascii="宋体" w:hAnsi="宋体" w:cs="宋体"/>
          <w:b/>
          <w:bCs/>
          <w:color w:val="auto"/>
          <w:szCs w:val="21"/>
          <w:highlight w:val="none"/>
          <w:lang w:bidi="ar"/>
        </w:rPr>
      </w:pPr>
    </w:p>
    <w:p w14:paraId="345CA65D">
      <w:pPr>
        <w:rPr>
          <w:rFonts w:hint="eastAsia"/>
          <w:color w:val="auto"/>
          <w:highlight w:val="none"/>
        </w:rPr>
      </w:pPr>
    </w:p>
    <w:p w14:paraId="133B25CE">
      <w:pPr>
        <w:pStyle w:val="2"/>
        <w:widowControl w:val="0"/>
        <w:numPr>
          <w:ilvl w:val="0"/>
          <w:numId w:val="0"/>
        </w:numPr>
        <w:jc w:val="both"/>
        <w:rPr>
          <w:rFonts w:hint="eastAsia"/>
          <w:color w:val="auto"/>
          <w:highlight w:val="none"/>
        </w:rPr>
      </w:pPr>
    </w:p>
    <w:p w14:paraId="3377352F">
      <w:pPr>
        <w:pStyle w:val="2"/>
        <w:widowControl w:val="0"/>
        <w:numPr>
          <w:ilvl w:val="0"/>
          <w:numId w:val="0"/>
        </w:numPr>
        <w:jc w:val="both"/>
        <w:rPr>
          <w:rFonts w:hint="eastAsia"/>
          <w:color w:val="auto"/>
          <w:highlight w:val="none"/>
        </w:rPr>
      </w:pPr>
    </w:p>
    <w:p w14:paraId="41E9270B">
      <w:pPr>
        <w:pStyle w:val="2"/>
        <w:widowControl w:val="0"/>
        <w:numPr>
          <w:ilvl w:val="0"/>
          <w:numId w:val="0"/>
        </w:numPr>
        <w:jc w:val="both"/>
        <w:rPr>
          <w:rFonts w:hint="eastAsia"/>
          <w:color w:val="auto"/>
          <w:highlight w:val="none"/>
        </w:rPr>
      </w:pPr>
    </w:p>
    <w:p w14:paraId="6E9AE041">
      <w:pPr>
        <w:pStyle w:val="2"/>
        <w:widowControl w:val="0"/>
        <w:numPr>
          <w:ilvl w:val="0"/>
          <w:numId w:val="0"/>
        </w:numPr>
        <w:jc w:val="both"/>
        <w:rPr>
          <w:rFonts w:hint="eastAsia"/>
          <w:color w:val="auto"/>
          <w:highlight w:val="none"/>
        </w:rPr>
      </w:pPr>
    </w:p>
    <w:p w14:paraId="50F3842B">
      <w:pPr>
        <w:pStyle w:val="2"/>
        <w:widowControl w:val="0"/>
        <w:numPr>
          <w:ilvl w:val="0"/>
          <w:numId w:val="0"/>
        </w:numPr>
        <w:jc w:val="both"/>
        <w:rPr>
          <w:rFonts w:hint="eastAsia"/>
          <w:color w:val="auto"/>
          <w:highlight w:val="none"/>
        </w:rPr>
      </w:pPr>
    </w:p>
    <w:p w14:paraId="4E1CCE94">
      <w:pPr>
        <w:pStyle w:val="2"/>
        <w:widowControl w:val="0"/>
        <w:numPr>
          <w:ilvl w:val="0"/>
          <w:numId w:val="0"/>
        </w:numPr>
        <w:jc w:val="both"/>
        <w:rPr>
          <w:rFonts w:hint="eastAsia"/>
          <w:color w:val="auto"/>
          <w:highlight w:val="none"/>
        </w:rPr>
      </w:pPr>
    </w:p>
    <w:p w14:paraId="51D6AC9E">
      <w:pPr>
        <w:pStyle w:val="2"/>
        <w:widowControl w:val="0"/>
        <w:numPr>
          <w:ilvl w:val="0"/>
          <w:numId w:val="0"/>
        </w:numPr>
        <w:jc w:val="both"/>
        <w:rPr>
          <w:rFonts w:hint="eastAsia"/>
          <w:color w:val="auto"/>
          <w:highlight w:val="none"/>
        </w:rPr>
      </w:pPr>
    </w:p>
    <w:p w14:paraId="26EBE76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、双方责任</w:t>
      </w:r>
    </w:p>
    <w:p w14:paraId="1094C0F1">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（一）采购人责任</w:t>
      </w:r>
    </w:p>
    <w:p w14:paraId="27295DF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1、采购人可以向中标人免费提供必要且面积适宜的办公场所、库房，以及</w:t>
      </w:r>
      <w:r>
        <w:rPr>
          <w:rFonts w:hint="eastAsia" w:ascii="宋体" w:hAnsi="宋体" w:cs="宋体"/>
          <w:color w:val="auto"/>
          <w:szCs w:val="21"/>
          <w:highlight w:val="none"/>
          <w:lang w:val="en-US" w:eastAsia="zh-CN"/>
        </w:rPr>
        <w:t>消毒车、</w:t>
      </w:r>
      <w:r>
        <w:rPr>
          <w:rFonts w:hint="eastAsia" w:ascii="宋体" w:hAnsi="宋体" w:cs="宋体"/>
          <w:color w:val="auto"/>
          <w:szCs w:val="21"/>
          <w:highlight w:val="none"/>
        </w:rPr>
        <w:t>手推车等物品。中标人可根据项目实际情况向采购人申请添加。</w:t>
      </w:r>
    </w:p>
    <w:p w14:paraId="410CB268">
      <w:pPr>
        <w:spacing w:line="360" w:lineRule="auto"/>
        <w:ind w:firstLine="420" w:firstLineChars="200"/>
        <w:rPr>
          <w:rFonts w:ascii="宋体" w:hAnsi="宋体" w:cs="宋体"/>
          <w:color w:val="auto"/>
          <w:highlight w:val="none"/>
        </w:rPr>
      </w:pPr>
      <w:r>
        <w:rPr>
          <w:rFonts w:hint="eastAsia" w:ascii="宋体" w:hAnsi="宋体" w:cs="宋体"/>
          <w:color w:val="auto"/>
          <w:szCs w:val="21"/>
          <w:highlight w:val="none"/>
        </w:rPr>
        <w:t>2、公用水电（包括空调/消毒服务/办公/生活等各类用水；消防/水泵/照明/电梯/各类机电设备/中标人办公等各类用电）费用由采购人承担。负责提供服务必须的工具、设备及耗材。</w:t>
      </w:r>
    </w:p>
    <w:p w14:paraId="75351C4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3、每月对中标人工作进行考核，客观公正地对中标人工作进行评价，有权对其提供的服务提出意见和建议。</w:t>
      </w:r>
    </w:p>
    <w:p w14:paraId="0AECB00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4、采购人对中标人的服务不满意时，有权提出异议和要求返工。</w:t>
      </w:r>
    </w:p>
    <w:p w14:paraId="136B8C5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严格考勤制度，按实核查中标人的在岗人员，实际人数、实际出勤天数及合同约定的其他条款，人员工资的增长参照政府文件精神和要求与中标人协商后签订补充协议，原则上参照扬州市政府的相关规定执行。</w:t>
      </w:r>
    </w:p>
    <w:p w14:paraId="54840D9B">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（二）中标人责任</w:t>
      </w:r>
    </w:p>
    <w:p w14:paraId="4BBF675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1、按照合同约定要求认真履行中标人职责，同时必须按照投标文件和合同确定的人数派出相关人员从事服务工作。中标人在合同执行期间，须接受采购人的监管。</w:t>
      </w:r>
    </w:p>
    <w:p w14:paraId="5C8E35B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医疗废物流失等所造成的一切后果及损失，由中标人承担。</w:t>
      </w:r>
    </w:p>
    <w:p w14:paraId="3B40CED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3、及时掌握天气情况，以便提前做好雨雪天气的防滑、防水等预防措施，确保在雨前30分钟铺好防滑垫和雨伞防水袋工作。</w:t>
      </w:r>
    </w:p>
    <w:p w14:paraId="10C2A72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4、遵守采购人规章制度，不介入采购人医疗活动，不利用工作之便在医院从事与本职工作无关的活动。</w:t>
      </w:r>
    </w:p>
    <w:p w14:paraId="67A9FAD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5、中标人应负责为其派出人员依法办理劳动用工手续，并承担其人员的工资报酬、劳保福利、养老保险等全部用工费用，发生工伤事故、人事、工作纠纷等由中标人自行解决并承担全部责任。</w:t>
      </w:r>
    </w:p>
    <w:p w14:paraId="7BF1FE7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6、依法进行用工管理，按采购人要求对不称职人员及时撤换，对所有上岗人员和特种专业岗位人员应定期进行业务培训，培训合格后方可上岗，上岗前需征求服务区域</w:t>
      </w:r>
      <w:r>
        <w:rPr>
          <w:rFonts w:hint="eastAsia" w:ascii="宋体" w:hAnsi="宋体" w:cs="宋体"/>
          <w:color w:val="auto"/>
          <w:szCs w:val="21"/>
          <w:highlight w:val="none"/>
          <w:lang w:eastAsia="zh-CN"/>
        </w:rPr>
        <w:t>项目管理人员</w:t>
      </w:r>
      <w:r>
        <w:rPr>
          <w:rFonts w:hint="eastAsia" w:ascii="宋体" w:hAnsi="宋体" w:cs="宋体"/>
          <w:color w:val="auto"/>
          <w:szCs w:val="21"/>
          <w:highlight w:val="none"/>
        </w:rPr>
        <w:t>意见。专业人员需持证上岗（培训费中标人自理）。</w:t>
      </w:r>
    </w:p>
    <w:p w14:paraId="3A1D55F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加强对聘用人员的职业道德和安全意识教育，爱护公共财物，节约使用水、电、气。由于中标人人员在日常工作中给采购人的设施、材料或患者物品造成损失的，中标人应承担赔偿责任。对采购人提供的物品，应及时保养。需要修理及时送采购人修理，对无修理价值的物品应及时到采购人办理报损手续。对病区、科室需要维修的设施、物品应及时报修并做相关记录（对需要维修部件材料应妥善保管好，并提供给维修人员）。</w:t>
      </w:r>
    </w:p>
    <w:p w14:paraId="589BAC6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8、制定切实可行的管理制度和工作流程，对承包范围内的工作要认真进行自查自纠，确保服务质量。自觉接受采购人的监督和检查，积极采纳采购人合理化建议，并负责处理有关投诉。项目负责人与</w:t>
      </w:r>
      <w:r>
        <w:rPr>
          <w:rFonts w:hint="eastAsia" w:ascii="宋体" w:hAnsi="宋体" w:cs="宋体"/>
          <w:color w:val="auto"/>
          <w:szCs w:val="21"/>
          <w:highlight w:val="none"/>
          <w:lang w:eastAsia="zh-CN"/>
        </w:rPr>
        <w:t>项目管理人员</w:t>
      </w:r>
      <w:r>
        <w:rPr>
          <w:rFonts w:hint="eastAsia" w:ascii="宋体" w:hAnsi="宋体" w:cs="宋体"/>
          <w:color w:val="auto"/>
          <w:szCs w:val="21"/>
          <w:highlight w:val="none"/>
        </w:rPr>
        <w:t>每周一次进行各区域的联合巡查，每日各自巡查</w:t>
      </w:r>
      <w:r>
        <w:rPr>
          <w:rFonts w:hint="eastAsia" w:ascii="宋体" w:hAnsi="宋体" w:cs="宋体"/>
          <w:color w:val="auto"/>
          <w:szCs w:val="21"/>
          <w:highlight w:val="none"/>
          <w:lang w:eastAsia="zh-CN"/>
        </w:rPr>
        <w:t>项目管理人员</w:t>
      </w:r>
      <w:r>
        <w:rPr>
          <w:rFonts w:hint="eastAsia" w:ascii="宋体" w:hAnsi="宋体" w:cs="宋体"/>
          <w:color w:val="auto"/>
          <w:szCs w:val="21"/>
          <w:highlight w:val="none"/>
        </w:rPr>
        <w:t>区域，及时处理现场问题，与区域内采购人主管人员进行沟通，做好每日巡查及沟通记录。</w:t>
      </w:r>
    </w:p>
    <w:p w14:paraId="461F294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、中标人在召开管理层工作会议或职工会议时应邀请采购人相关人员列席会议。</w:t>
      </w:r>
    </w:p>
    <w:p w14:paraId="052D86D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、中标人进场派驻本院的项目负责人、</w:t>
      </w:r>
      <w:r>
        <w:rPr>
          <w:rFonts w:hint="eastAsia" w:ascii="宋体" w:hAnsi="宋体" w:cs="宋体"/>
          <w:color w:val="auto"/>
          <w:szCs w:val="21"/>
          <w:highlight w:val="none"/>
          <w:lang w:eastAsia="zh-CN"/>
        </w:rPr>
        <w:t>项目管理人员</w:t>
      </w:r>
      <w:r>
        <w:rPr>
          <w:rFonts w:hint="eastAsia" w:ascii="宋体" w:hAnsi="宋体" w:cs="宋体"/>
          <w:color w:val="auto"/>
          <w:szCs w:val="21"/>
          <w:highlight w:val="none"/>
        </w:rPr>
        <w:t>及班组长必须与投标文件一致，不得随意更换。项目负责人及管理人员在工作日离开本院时，应向采购人请假。中标人派驻的持证操作人员必须与投标文件一致，不得随意更换，采购人要求换人的除外。</w:t>
      </w:r>
    </w:p>
    <w:p w14:paraId="1EF4DC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、因服务管理不到位、工作流程不合理的原因造成第三方损失或纠纷的，由中标人负责处理，采购人积极参与协调，所有相关费用由中标人承担。</w:t>
      </w:r>
    </w:p>
    <w:p w14:paraId="7E72932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、医院安排的其他有关工作。</w:t>
      </w:r>
    </w:p>
    <w:p w14:paraId="194F6AF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、违约责任</w:t>
      </w:r>
    </w:p>
    <w:p w14:paraId="032A482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1、中标人不履行合同或履行该合同不符合合同约定，中标人应向采购人支付合同价5%的违约金，违约金在合同总价中扣除。</w:t>
      </w:r>
    </w:p>
    <w:p w14:paraId="18E9E5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2、中标人如延迟履行合同或不完全履行合同，除支付5%违约金外中标人仍应实际履行合同，采购人也有权提前免责解除合同，且有权要求中标人承担因中标人违约给采购人造成的经济损失。</w:t>
      </w:r>
    </w:p>
    <w:p w14:paraId="2FEEFAA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甲、乙双方因不可抗力不能及时或完全履行合同的，应及时通知对方，并在10天内提供相应证明。未履行完合同部分是否继续履行，如何履行等问题，可由双方协商解决。确定为不可抗力原因造成的损失免予承担责任。</w:t>
      </w:r>
    </w:p>
    <w:p w14:paraId="2BB105D6">
      <w:pPr>
        <w:spacing w:line="360" w:lineRule="auto"/>
        <w:ind w:firstLine="420" w:firstLineChars="200"/>
        <w:rPr>
          <w:rFonts w:hint="eastAsia"/>
          <w:color w:val="auto"/>
          <w:highlight w:val="none"/>
        </w:rPr>
      </w:pPr>
      <w:r>
        <w:rPr>
          <w:rFonts w:hint="eastAsia" w:ascii="宋体" w:hAnsi="宋体" w:cs="宋体"/>
          <w:color w:val="auto"/>
          <w:szCs w:val="21"/>
          <w:highlight w:val="none"/>
        </w:rPr>
        <w:t>4、无论是合同期满或其他情况，中标人在撤离医院前，要进行财产清理，中标人需将采购人交付使用的财产物资完整地移交给采购人。对撤出物品要经过双方共同认定，故意损坏的需按原价赔偿。</w:t>
      </w:r>
    </w:p>
    <w:p w14:paraId="1F7F4AD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、对招标有关项目的说明</w:t>
      </w:r>
    </w:p>
    <w:p w14:paraId="56AF34B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1、中标人办公所需水、电、气费用由采购人承担。</w:t>
      </w:r>
    </w:p>
    <w:p w14:paraId="0CE982F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2、采购人将提供中标人管理办公用房、仓库用房</w:t>
      </w:r>
      <w:r>
        <w:rPr>
          <w:rFonts w:hint="eastAsia" w:ascii="宋体" w:hAnsi="宋体" w:cs="宋体"/>
          <w:color w:val="auto"/>
          <w:szCs w:val="21"/>
          <w:highlight w:val="none"/>
          <w:lang w:val="en-US" w:eastAsia="zh-CN"/>
        </w:rPr>
        <w:t>和</w:t>
      </w:r>
      <w:r>
        <w:rPr>
          <w:rFonts w:hint="eastAsia" w:ascii="宋体" w:hAnsi="宋体" w:cs="宋体"/>
          <w:color w:val="auto"/>
          <w:szCs w:val="21"/>
          <w:highlight w:val="none"/>
        </w:rPr>
        <w:t>打印机等办公设备和耗材，在服务期限内提供给中标人免费使用。</w:t>
      </w:r>
    </w:p>
    <w:p w14:paraId="66F5CA6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3、中标人必须配置项目相关人员的装备。</w:t>
      </w:r>
    </w:p>
    <w:p w14:paraId="564A2740">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Cs w:val="21"/>
          <w:highlight w:val="none"/>
        </w:rPr>
        <w:t>4、中标人须严格按照国家和扬州市政府规定给未退休员工缴纳各种社会保险（包括养老、工伤、失业保险等）、医疗保险等。</w:t>
      </w:r>
      <w:r>
        <w:rPr>
          <w:rFonts w:hint="eastAsia" w:ascii="宋体" w:hAnsi="宋体" w:cs="宋体"/>
          <w:iCs/>
          <w:color w:val="auto"/>
          <w:sz w:val="21"/>
          <w:szCs w:val="21"/>
          <w:highlight w:val="none"/>
        </w:rPr>
        <w:t>合同期限内，如因劳动部门提高扬州市区从业人员最低工资标准或社会保险基数，其差额部分及相关税费、管理费等由采购人按月付给中标人。</w:t>
      </w:r>
    </w:p>
    <w:p w14:paraId="737096E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、中标人有岗前培训机制，服务人员100%经过岗前培训合格后方可上岗。同时必须提交岗前培训记录。</w:t>
      </w:r>
    </w:p>
    <w:p w14:paraId="7ED2FE5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、未经采购人同意，中标人不得在合同期限内将本项目转包或分包。</w:t>
      </w:r>
    </w:p>
    <w:p w14:paraId="39EC57A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、中标人须严格按照标准化的操作程序、完善的培训体系和质量控制体系完成本项目，以保证整个服务系统安全、高效、有序和有计划地运转。</w:t>
      </w:r>
    </w:p>
    <w:p w14:paraId="7A63987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、中标人有责任配合医院接受上级领导部门的监督、检查，提供必需的资料。</w:t>
      </w:r>
    </w:p>
    <w:p w14:paraId="4A1A245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中标人自行负责其招聘员工的一切工资；如发生工伤、疾病乃至死亡的一切责任及费用由中标人全部负责；中标人应严格遵守国家有关的法律法规及行业标准，如发生劳动人事纠纷，一律由中标人全权负责处理。</w:t>
      </w:r>
    </w:p>
    <w:p w14:paraId="0466827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、采购人不接受投标供应商任何因遗漏报价而发生的费用追加，因违反《劳动法》等法律法规而造成采购人的连带责任和损失全部由中标人承担。</w:t>
      </w:r>
    </w:p>
    <w:p w14:paraId="430D80A6">
      <w:pPr>
        <w:spacing w:line="360" w:lineRule="auto"/>
        <w:ind w:firstLine="420" w:firstLineChars="200"/>
        <w:rPr>
          <w:rFonts w:ascii="宋体" w:hAnsi="宋体" w:cs="宋体"/>
          <w:b/>
          <w:i/>
          <w:iCs/>
          <w:color w:val="auto"/>
          <w:szCs w:val="21"/>
          <w:highlight w:val="none"/>
          <w:u w:val="single"/>
        </w:rPr>
      </w:pPr>
      <w:r>
        <w:rPr>
          <w:rFonts w:hint="eastAsia" w:ascii="宋体" w:hAnsi="宋体" w:cs="宋体"/>
          <w:i/>
          <w:iCs/>
          <w:color w:val="auto"/>
          <w:szCs w:val="21"/>
          <w:highlight w:val="none"/>
          <w:u w:val="single"/>
        </w:rPr>
        <w:t>1</w:t>
      </w:r>
      <w:r>
        <w:rPr>
          <w:rFonts w:hint="eastAsia" w:ascii="宋体" w:hAnsi="宋体" w:cs="宋体"/>
          <w:i/>
          <w:iCs/>
          <w:color w:val="auto"/>
          <w:szCs w:val="21"/>
          <w:highlight w:val="none"/>
          <w:u w:val="single"/>
          <w:lang w:val="en-US" w:eastAsia="zh-CN"/>
        </w:rPr>
        <w:t>1</w:t>
      </w:r>
      <w:r>
        <w:rPr>
          <w:rFonts w:hint="eastAsia" w:ascii="宋体" w:hAnsi="宋体" w:cs="宋体"/>
          <w:i/>
          <w:iCs/>
          <w:color w:val="auto"/>
          <w:szCs w:val="21"/>
          <w:highlight w:val="none"/>
          <w:u w:val="single"/>
        </w:rPr>
        <w:t>、未经采购人同意，中标人不得在服务区域内从事任何广告活动或类似宣传。</w:t>
      </w:r>
      <w:r>
        <w:rPr>
          <w:rFonts w:hint="eastAsia" w:ascii="宋体" w:hAnsi="宋体" w:cs="宋体"/>
          <w:b/>
          <w:i/>
          <w:iCs/>
          <w:color w:val="auto"/>
          <w:szCs w:val="21"/>
          <w:highlight w:val="none"/>
          <w:u w:val="single"/>
        </w:rPr>
        <w:t>（须提供承诺函，原件扫描上传）</w:t>
      </w:r>
    </w:p>
    <w:p w14:paraId="4ED874C5">
      <w:pPr>
        <w:spacing w:line="360" w:lineRule="auto"/>
        <w:ind w:firstLine="420" w:firstLineChars="200"/>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1</w:t>
      </w:r>
      <w:r>
        <w:rPr>
          <w:rFonts w:hint="eastAsia" w:ascii="宋体" w:hAnsi="宋体" w:cs="宋体"/>
          <w:i/>
          <w:iCs/>
          <w:color w:val="auto"/>
          <w:szCs w:val="21"/>
          <w:highlight w:val="none"/>
          <w:u w:val="single"/>
          <w:lang w:val="en-US" w:eastAsia="zh-CN"/>
        </w:rPr>
        <w:t>2</w:t>
      </w:r>
      <w:r>
        <w:rPr>
          <w:rFonts w:hint="eastAsia" w:ascii="宋体" w:hAnsi="宋体" w:cs="宋体"/>
          <w:i/>
          <w:iCs/>
          <w:color w:val="auto"/>
          <w:szCs w:val="21"/>
          <w:highlight w:val="none"/>
          <w:u w:val="single"/>
        </w:rPr>
        <w:t>、中标人不得以采购人的名义从事任何经济活动。</w:t>
      </w:r>
      <w:r>
        <w:rPr>
          <w:rFonts w:hint="eastAsia" w:ascii="宋体" w:hAnsi="宋体" w:cs="宋体"/>
          <w:b/>
          <w:bCs/>
          <w:i/>
          <w:iCs/>
          <w:color w:val="auto"/>
          <w:szCs w:val="21"/>
          <w:highlight w:val="none"/>
          <w:u w:val="single"/>
        </w:rPr>
        <w:t>（须提供承诺函，原件扫描上传）</w:t>
      </w:r>
    </w:p>
    <w:p w14:paraId="63D3DA8C">
      <w:pPr>
        <w:pStyle w:val="2"/>
        <w:rPr>
          <w:rFonts w:hint="eastAsia"/>
          <w:color w:val="auto"/>
          <w:highlight w:val="none"/>
          <w:lang w:val="en-US" w:eastAsia="zh-CN"/>
        </w:rPr>
      </w:pPr>
    </w:p>
    <w:p w14:paraId="7FBE4E9F">
      <w:pPr>
        <w:rPr>
          <w:rFonts w:hint="eastAsia" w:ascii="宋体" w:hAnsi="宋体" w:eastAsia="宋体" w:cs="Times New Roman"/>
          <w:b/>
          <w:bCs/>
          <w:color w:val="auto"/>
          <w:kern w:val="44"/>
          <w:sz w:val="24"/>
          <w:szCs w:val="24"/>
          <w:highlight w:val="none"/>
          <w:lang w:val="en-US" w:eastAsia="zh-CN"/>
        </w:rPr>
      </w:pPr>
      <w:r>
        <w:rPr>
          <w:rFonts w:hint="eastAsia" w:ascii="宋体" w:hAnsi="宋体" w:eastAsia="宋体" w:cs="Times New Roman"/>
          <w:b/>
          <w:bCs/>
          <w:color w:val="auto"/>
          <w:kern w:val="44"/>
          <w:sz w:val="24"/>
          <w:szCs w:val="24"/>
          <w:highlight w:val="none"/>
          <w:lang w:val="en-US" w:eastAsia="zh-CN"/>
        </w:rPr>
        <w:br w:type="page"/>
      </w:r>
    </w:p>
    <w:p w14:paraId="465CBAB0">
      <w:pPr>
        <w:pStyle w:val="233"/>
        <w:rPr>
          <w:rFonts w:ascii="黑体" w:eastAsia="黑体"/>
          <w:bCs/>
          <w:color w:val="auto"/>
          <w:sz w:val="44"/>
          <w:highlight w:val="none"/>
        </w:rPr>
      </w:pPr>
      <w:bookmarkStart w:id="63" w:name="_Toc120614281"/>
      <w:r>
        <w:rPr>
          <w:rFonts w:hint="eastAsia" w:ascii="黑体" w:eastAsia="黑体"/>
          <w:bCs/>
          <w:color w:val="auto"/>
          <w:sz w:val="44"/>
          <w:highlight w:val="none"/>
        </w:rPr>
        <w:t xml:space="preserve">第五章  </w:t>
      </w:r>
      <w:r>
        <w:rPr>
          <w:rFonts w:hint="eastAsia" w:ascii="黑体" w:eastAsia="黑体"/>
          <w:b/>
          <w:bCs/>
          <w:color w:val="auto"/>
          <w:sz w:val="44"/>
          <w:highlight w:val="none"/>
        </w:rPr>
        <w:t>评标方法与评标标准</w:t>
      </w:r>
    </w:p>
    <w:p w14:paraId="5488364D">
      <w:pPr>
        <w:rPr>
          <w:color w:val="auto"/>
          <w:sz w:val="24"/>
          <w:szCs w:val="24"/>
          <w:highlight w:val="none"/>
        </w:rPr>
      </w:pPr>
    </w:p>
    <w:p w14:paraId="1F494424">
      <w:pPr>
        <w:adjustRightInd w:val="0"/>
        <w:spacing w:before="120" w:after="120" w:line="360" w:lineRule="auto"/>
        <w:ind w:firstLine="439" w:firstLineChars="183"/>
        <w:jc w:val="left"/>
        <w:textAlignment w:val="baseline"/>
        <w:rPr>
          <w:rFonts w:hint="eastAsia"/>
          <w:color w:val="auto"/>
          <w:highlight w:val="none"/>
        </w:rPr>
      </w:pPr>
      <w:r>
        <w:rPr>
          <w:rFonts w:hint="eastAsia" w:ascii="宋体" w:hAnsi="宋体"/>
          <w:color w:val="auto"/>
          <w:sz w:val="24"/>
          <w:szCs w:val="24"/>
          <w:highlight w:val="none"/>
        </w:rPr>
        <w:t>本项目采用综合评分法</w:t>
      </w:r>
      <w:r>
        <w:rPr>
          <w:rFonts w:hint="eastAsia" w:ascii="宋体" w:hAnsi="宋体"/>
          <w:color w:val="auto"/>
          <w:sz w:val="24"/>
          <w:szCs w:val="24"/>
          <w:highlight w:val="none"/>
          <w:lang w:eastAsia="zh-CN"/>
        </w:rPr>
        <w:t>。</w:t>
      </w:r>
      <w:r>
        <w:rPr>
          <w:rFonts w:hint="eastAsia" w:ascii="宋体" w:hAnsi="宋体"/>
          <w:color w:val="auto"/>
          <w:sz w:val="24"/>
          <w:szCs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rPr>
          <w:rFonts w:hint="eastAsia" w:ascii="Arial" w:hAnsi="Arial" w:cs="Arial"/>
          <w:color w:val="auto"/>
          <w:kern w:val="0"/>
          <w:sz w:val="24"/>
          <w:szCs w:val="24"/>
          <w:highlight w:val="none"/>
        </w:rPr>
        <w:t>本项目选取</w:t>
      </w:r>
      <w:r>
        <w:rPr>
          <w:rFonts w:hint="eastAsia" w:ascii="Arial" w:hAnsi="Arial" w:cs="Arial"/>
          <w:color w:val="auto"/>
          <w:kern w:val="0"/>
          <w:sz w:val="24"/>
          <w:szCs w:val="24"/>
          <w:highlight w:val="none"/>
          <w:lang w:val="en-US" w:eastAsia="zh-CN"/>
        </w:rPr>
        <w:t>3</w:t>
      </w:r>
      <w:r>
        <w:rPr>
          <w:rFonts w:hint="eastAsia" w:ascii="Arial" w:hAnsi="Arial" w:cs="Arial"/>
          <w:color w:val="auto"/>
          <w:kern w:val="0"/>
          <w:sz w:val="24"/>
          <w:szCs w:val="24"/>
          <w:highlight w:val="none"/>
        </w:rPr>
        <w:t>名中标候选人。</w:t>
      </w:r>
    </w:p>
    <w:p w14:paraId="7706FA68">
      <w:pPr>
        <w:pStyle w:val="326"/>
        <w:rPr>
          <w:rFonts w:hint="eastAsia" w:ascii="宋体" w:hAnsi="宋体"/>
          <w:b/>
          <w:color w:val="auto"/>
          <w:sz w:val="24"/>
          <w:szCs w:val="24"/>
          <w:highlight w:val="none"/>
        </w:rPr>
      </w:pPr>
      <w:r>
        <w:rPr>
          <w:rFonts w:hint="eastAsia" w:ascii="宋体" w:hAnsi="宋体"/>
          <w:b/>
          <w:color w:val="auto"/>
          <w:sz w:val="24"/>
          <w:szCs w:val="24"/>
          <w:highlight w:val="none"/>
        </w:rPr>
        <w:t>政府采购政策功能落实</w:t>
      </w:r>
    </w:p>
    <w:p w14:paraId="165BB576">
      <w:pPr>
        <w:pStyle w:val="326"/>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Microsoft New Tai Lue" w:hAnsi="Microsoft New Tai Lue" w:eastAsia="宋体" w:cs="Microsoft New Tai Lue"/>
          <w:bCs/>
          <w:color w:val="auto"/>
          <w:szCs w:val="21"/>
          <w:highlight w:val="none"/>
        </w:rPr>
        <w:t>本项目为专门面向中小企业采购，供应商必须在投标文件中提供中小企业声明函</w:t>
      </w:r>
      <w:r>
        <w:rPr>
          <w:rFonts w:hint="eastAsia" w:ascii="宋体" w:hAnsi="宋体"/>
          <w:color w:val="auto"/>
          <w:sz w:val="24"/>
          <w:szCs w:val="24"/>
          <w:highlight w:val="none"/>
        </w:rPr>
        <w:t>。</w:t>
      </w:r>
    </w:p>
    <w:p w14:paraId="143BB8B0">
      <w:pPr>
        <w:pStyle w:val="6"/>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对国家认定的节能产品和环保产品分别给予投标价的5%价格扣除，用扣除后的价格参与评审（特别说明：节能、环保产品必须纳入“中国政府采购网</w:t>
      </w: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HYPERLINK "http://www.ccgp.gov.cn”等官方网站“节能、环保产品查询系统”" \t "_blank" </w:instrText>
      </w:r>
      <w:r>
        <w:rPr>
          <w:rFonts w:ascii="宋体" w:hAnsi="宋体" w:eastAsia="宋体" w:cs="宋体"/>
          <w:color w:val="auto"/>
          <w:sz w:val="24"/>
          <w:szCs w:val="24"/>
          <w:highlight w:val="none"/>
        </w:rPr>
        <w:fldChar w:fldCharType="separate"/>
      </w:r>
      <w:r>
        <w:rPr>
          <w:rStyle w:val="42"/>
          <w:rFonts w:ascii="宋体" w:hAnsi="宋体" w:eastAsia="宋体" w:cs="宋体"/>
          <w:color w:val="auto"/>
          <w:sz w:val="24"/>
          <w:szCs w:val="24"/>
          <w:highlight w:val="none"/>
        </w:rPr>
        <w:t>http://www.ccgp.gov.cn”等官方网站“节能、环保产品查询系统”</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，且以提供的证书复印件为准）。”</w:t>
      </w:r>
    </w:p>
    <w:p w14:paraId="18B3D76B">
      <w:pPr>
        <w:pStyle w:val="6"/>
        <w:ind w:firstLine="482" w:firstLineChars="200"/>
        <w:jc w:val="left"/>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评审细则</w:t>
      </w:r>
    </w:p>
    <w:tbl>
      <w:tblPr>
        <w:tblStyle w:val="38"/>
        <w:tblW w:w="5189" w:type="pct"/>
        <w:jc w:val="center"/>
        <w:tblLayout w:type="autofit"/>
        <w:tblCellMar>
          <w:top w:w="0" w:type="dxa"/>
          <w:left w:w="108" w:type="dxa"/>
          <w:bottom w:w="0" w:type="dxa"/>
          <w:right w:w="108" w:type="dxa"/>
        </w:tblCellMar>
      </w:tblPr>
      <w:tblGrid>
        <w:gridCol w:w="1456"/>
        <w:gridCol w:w="8060"/>
      </w:tblGrid>
      <w:tr w14:paraId="1530A80A">
        <w:tblPrEx>
          <w:tblCellMar>
            <w:top w:w="0" w:type="dxa"/>
            <w:left w:w="108" w:type="dxa"/>
            <w:bottom w:w="0" w:type="dxa"/>
            <w:right w:w="108" w:type="dxa"/>
          </w:tblCellMar>
        </w:tblPrEx>
        <w:trPr>
          <w:trHeight w:val="680" w:hRule="atLeast"/>
          <w:jc w:val="center"/>
        </w:trPr>
        <w:tc>
          <w:tcPr>
            <w:tcW w:w="765" w:type="pct"/>
            <w:tcBorders>
              <w:top w:val="single" w:color="auto" w:sz="4" w:space="0"/>
              <w:left w:val="single" w:color="auto" w:sz="4" w:space="0"/>
              <w:bottom w:val="single" w:color="auto" w:sz="4" w:space="0"/>
              <w:right w:val="single" w:color="auto" w:sz="4" w:space="0"/>
            </w:tcBorders>
            <w:noWrap w:val="0"/>
            <w:vAlign w:val="center"/>
          </w:tcPr>
          <w:p w14:paraId="4EBA8351">
            <w:pPr>
              <w:widowControl/>
              <w:jc w:val="center"/>
              <w:rPr>
                <w:rFonts w:ascii="宋体" w:hAnsi="宋体" w:cs="宋体"/>
                <w:color w:val="auto"/>
                <w:szCs w:val="21"/>
                <w:highlight w:val="none"/>
              </w:rPr>
            </w:pPr>
            <w:r>
              <w:rPr>
                <w:rFonts w:hint="eastAsia" w:ascii="宋体" w:hAnsi="宋体" w:cs="宋体"/>
                <w:color w:val="auto"/>
                <w:szCs w:val="21"/>
                <w:highlight w:val="none"/>
              </w:rPr>
              <w:t>项目</w:t>
            </w:r>
          </w:p>
        </w:tc>
        <w:tc>
          <w:tcPr>
            <w:tcW w:w="4234" w:type="pct"/>
            <w:tcBorders>
              <w:top w:val="single" w:color="auto" w:sz="4" w:space="0"/>
              <w:left w:val="single" w:color="auto" w:sz="4" w:space="0"/>
              <w:bottom w:val="single" w:color="auto" w:sz="4" w:space="0"/>
              <w:right w:val="single" w:color="auto" w:sz="4" w:space="0"/>
            </w:tcBorders>
            <w:noWrap w:val="0"/>
            <w:vAlign w:val="center"/>
          </w:tcPr>
          <w:p w14:paraId="0E7A7E3E">
            <w:pPr>
              <w:widowControl/>
              <w:jc w:val="center"/>
              <w:rPr>
                <w:rFonts w:ascii="宋体" w:hAnsi="宋体" w:cs="宋体"/>
                <w:color w:val="auto"/>
                <w:szCs w:val="21"/>
                <w:highlight w:val="none"/>
              </w:rPr>
            </w:pPr>
            <w:r>
              <w:rPr>
                <w:rFonts w:hint="eastAsia" w:ascii="宋体" w:hAnsi="宋体" w:cs="宋体"/>
                <w:color w:val="auto"/>
                <w:szCs w:val="21"/>
                <w:highlight w:val="none"/>
              </w:rPr>
              <w:t>评分标准</w:t>
            </w:r>
          </w:p>
        </w:tc>
      </w:tr>
      <w:tr w14:paraId="3AA60297">
        <w:tblPrEx>
          <w:tblCellMar>
            <w:top w:w="0" w:type="dxa"/>
            <w:left w:w="108" w:type="dxa"/>
            <w:bottom w:w="0" w:type="dxa"/>
            <w:right w:w="108" w:type="dxa"/>
          </w:tblCellMar>
        </w:tblPrEx>
        <w:trPr>
          <w:trHeight w:val="90" w:hRule="atLeast"/>
          <w:jc w:val="center"/>
        </w:trPr>
        <w:tc>
          <w:tcPr>
            <w:tcW w:w="765" w:type="pct"/>
            <w:tcBorders>
              <w:top w:val="single" w:color="auto" w:sz="4" w:space="0"/>
              <w:left w:val="single" w:color="auto" w:sz="4" w:space="0"/>
              <w:bottom w:val="single" w:color="auto" w:sz="4" w:space="0"/>
              <w:right w:val="single" w:color="auto" w:sz="4" w:space="0"/>
            </w:tcBorders>
            <w:noWrap w:val="0"/>
            <w:vAlign w:val="center"/>
          </w:tcPr>
          <w:p w14:paraId="7C8A004A">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价格</w:t>
            </w:r>
          </w:p>
          <w:p w14:paraId="38FD5694">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w:t>
            </w:r>
          </w:p>
        </w:tc>
        <w:tc>
          <w:tcPr>
            <w:tcW w:w="4234" w:type="pct"/>
            <w:tcBorders>
              <w:top w:val="single" w:color="auto" w:sz="4" w:space="0"/>
              <w:left w:val="single" w:color="auto" w:sz="4" w:space="0"/>
              <w:bottom w:val="single" w:color="auto" w:sz="4" w:space="0"/>
              <w:right w:val="single" w:color="auto" w:sz="4" w:space="0"/>
            </w:tcBorders>
            <w:noWrap w:val="0"/>
            <w:vAlign w:val="center"/>
          </w:tcPr>
          <w:p w14:paraId="6BC65A91">
            <w:pPr>
              <w:spacing w:line="400" w:lineRule="exact"/>
              <w:jc w:val="left"/>
              <w:rPr>
                <w:rFonts w:ascii="宋体" w:hAnsi="宋体" w:cs="宋体"/>
                <w:b/>
                <w:bCs/>
                <w:color w:val="auto"/>
                <w:szCs w:val="21"/>
                <w:highlight w:val="none"/>
              </w:rPr>
            </w:pPr>
            <w:r>
              <w:rPr>
                <w:rFonts w:hint="eastAsia" w:ascii="宋体" w:hAnsi="宋体" w:cs="宋体"/>
                <w:color w:val="auto"/>
                <w:szCs w:val="21"/>
                <w:highlight w:val="none"/>
              </w:rPr>
              <w:t>以满足招标文件要求的最低投标报价为评标基准价，得满分</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0分，其他投标报价得分=（评标基准价/其他投标报价）×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0×100%。</w:t>
            </w:r>
          </w:p>
        </w:tc>
      </w:tr>
      <w:tr w14:paraId="723F973E">
        <w:tblPrEx>
          <w:tblCellMar>
            <w:top w:w="0" w:type="dxa"/>
            <w:left w:w="108" w:type="dxa"/>
            <w:bottom w:w="0" w:type="dxa"/>
            <w:right w:w="108" w:type="dxa"/>
          </w:tblCellMar>
        </w:tblPrEx>
        <w:trPr>
          <w:trHeight w:val="90" w:hRule="atLeast"/>
          <w:jc w:val="center"/>
        </w:trPr>
        <w:tc>
          <w:tcPr>
            <w:tcW w:w="765" w:type="pct"/>
            <w:vMerge w:val="restart"/>
            <w:tcBorders>
              <w:top w:val="single" w:color="auto" w:sz="4" w:space="0"/>
              <w:left w:val="single" w:color="auto" w:sz="4" w:space="0"/>
              <w:bottom w:val="single" w:color="auto" w:sz="4" w:space="0"/>
              <w:right w:val="single" w:color="auto" w:sz="4" w:space="0"/>
            </w:tcBorders>
            <w:noWrap w:val="0"/>
            <w:vAlign w:val="center"/>
          </w:tcPr>
          <w:p w14:paraId="313E61D8">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服务方案（</w:t>
            </w:r>
            <w:r>
              <w:rPr>
                <w:rFonts w:hint="eastAsia" w:ascii="宋体" w:hAnsi="宋体" w:cs="宋体"/>
                <w:color w:val="auto"/>
                <w:szCs w:val="21"/>
                <w:highlight w:val="none"/>
                <w:lang w:val="en-US" w:eastAsia="zh-CN"/>
              </w:rPr>
              <w:t>55</w:t>
            </w:r>
            <w:r>
              <w:rPr>
                <w:rFonts w:hint="eastAsia" w:ascii="宋体" w:hAnsi="宋体" w:cs="宋体"/>
                <w:color w:val="auto"/>
                <w:szCs w:val="21"/>
                <w:highlight w:val="none"/>
              </w:rPr>
              <w:t>分）</w:t>
            </w:r>
          </w:p>
        </w:tc>
        <w:tc>
          <w:tcPr>
            <w:tcW w:w="4234" w:type="pct"/>
            <w:tcBorders>
              <w:top w:val="single" w:color="auto" w:sz="4" w:space="0"/>
              <w:left w:val="single" w:color="auto" w:sz="4" w:space="0"/>
              <w:bottom w:val="single" w:color="auto" w:sz="4" w:space="0"/>
              <w:right w:val="single" w:color="auto" w:sz="4" w:space="0"/>
            </w:tcBorders>
            <w:noWrap w:val="0"/>
            <w:vAlign w:val="center"/>
          </w:tcPr>
          <w:p w14:paraId="1F2F9035">
            <w:p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评标委员根据投标人提供的本项目服务方案（至少包含安保、运送、消毒</w:t>
            </w:r>
            <w:r>
              <w:rPr>
                <w:rFonts w:hint="eastAsia" w:ascii="宋体" w:hAnsi="宋体" w:cs="宋体"/>
                <w:color w:val="auto"/>
                <w:szCs w:val="21"/>
                <w:highlight w:val="none"/>
                <w:lang w:eastAsia="zh-CN"/>
              </w:rPr>
              <w:t>、</w:t>
            </w:r>
            <w:r>
              <w:rPr>
                <w:rFonts w:hint="eastAsia" w:ascii="宋体" w:hAnsi="宋体" w:cs="宋体"/>
                <w:color w:val="auto"/>
                <w:szCs w:val="21"/>
                <w:highlight w:val="none"/>
              </w:rPr>
              <w:t>辅医与物流）进行综合评审：</w:t>
            </w:r>
          </w:p>
          <w:p w14:paraId="082CDD45">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00901917">
        <w:tblPrEx>
          <w:tblCellMar>
            <w:top w:w="0" w:type="dxa"/>
            <w:left w:w="108" w:type="dxa"/>
            <w:bottom w:w="0" w:type="dxa"/>
            <w:right w:w="108" w:type="dxa"/>
          </w:tblCellMar>
        </w:tblPrEx>
        <w:trPr>
          <w:trHeight w:val="90" w:hRule="atLeast"/>
          <w:jc w:val="center"/>
        </w:trPr>
        <w:tc>
          <w:tcPr>
            <w:tcW w:w="765" w:type="pct"/>
            <w:vMerge w:val="continue"/>
            <w:tcBorders>
              <w:left w:val="single" w:color="auto" w:sz="4" w:space="0"/>
              <w:right w:val="single" w:color="auto" w:sz="4" w:space="0"/>
            </w:tcBorders>
            <w:noWrap w:val="0"/>
            <w:vAlign w:val="center"/>
          </w:tcPr>
          <w:p w14:paraId="308E56D0">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0B3DEACB">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评标委员根据投标人提供的院感管理方案进行综合评审：</w:t>
            </w:r>
          </w:p>
          <w:p w14:paraId="113391A7">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66507920">
        <w:tblPrEx>
          <w:tblCellMar>
            <w:top w:w="0" w:type="dxa"/>
            <w:left w:w="108" w:type="dxa"/>
            <w:bottom w:w="0" w:type="dxa"/>
            <w:right w:w="108" w:type="dxa"/>
          </w:tblCellMar>
        </w:tblPrEx>
        <w:trPr>
          <w:trHeight w:val="90" w:hRule="atLeast"/>
          <w:jc w:val="center"/>
        </w:trPr>
        <w:tc>
          <w:tcPr>
            <w:tcW w:w="765" w:type="pct"/>
            <w:vMerge w:val="continue"/>
            <w:tcBorders>
              <w:left w:val="single" w:color="auto" w:sz="4" w:space="0"/>
              <w:right w:val="single" w:color="auto" w:sz="4" w:space="0"/>
            </w:tcBorders>
            <w:noWrap w:val="0"/>
            <w:vAlign w:val="center"/>
          </w:tcPr>
          <w:p w14:paraId="7BD2597D">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341ABE0F">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评标委员根据投标人提供的管理规章制度进行综合评审：</w:t>
            </w:r>
          </w:p>
          <w:p w14:paraId="45624B18">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6B1219E3">
        <w:tblPrEx>
          <w:tblCellMar>
            <w:top w:w="0" w:type="dxa"/>
            <w:left w:w="108" w:type="dxa"/>
            <w:bottom w:w="0" w:type="dxa"/>
            <w:right w:w="108" w:type="dxa"/>
          </w:tblCellMar>
        </w:tblPrEx>
        <w:trPr>
          <w:trHeight w:val="1228" w:hRule="atLeast"/>
          <w:jc w:val="center"/>
        </w:trPr>
        <w:tc>
          <w:tcPr>
            <w:tcW w:w="765" w:type="pct"/>
            <w:vMerge w:val="continue"/>
            <w:tcBorders>
              <w:top w:val="single" w:color="auto" w:sz="4" w:space="0"/>
              <w:left w:val="single" w:color="auto" w:sz="4" w:space="0"/>
              <w:bottom w:val="single" w:color="auto" w:sz="4" w:space="0"/>
              <w:right w:val="single" w:color="auto" w:sz="4" w:space="0"/>
            </w:tcBorders>
            <w:noWrap w:val="0"/>
            <w:vAlign w:val="center"/>
          </w:tcPr>
          <w:p w14:paraId="1D095F74">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324635A5">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评标委员根据投标人提供的突发事件应急预案进行综合评审：</w:t>
            </w:r>
          </w:p>
          <w:p w14:paraId="6C944E69">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1D8C8094">
        <w:tblPrEx>
          <w:tblCellMar>
            <w:top w:w="0" w:type="dxa"/>
            <w:left w:w="108" w:type="dxa"/>
            <w:bottom w:w="0" w:type="dxa"/>
            <w:right w:w="108" w:type="dxa"/>
          </w:tblCellMar>
        </w:tblPrEx>
        <w:trPr>
          <w:trHeight w:val="1178" w:hRule="atLeast"/>
          <w:jc w:val="center"/>
        </w:trPr>
        <w:tc>
          <w:tcPr>
            <w:tcW w:w="765" w:type="pct"/>
            <w:vMerge w:val="continue"/>
            <w:tcBorders>
              <w:top w:val="single" w:color="auto" w:sz="4" w:space="0"/>
              <w:left w:val="single" w:color="auto" w:sz="4" w:space="0"/>
              <w:bottom w:val="single" w:color="auto" w:sz="4" w:space="0"/>
              <w:right w:val="single" w:color="auto" w:sz="4" w:space="0"/>
            </w:tcBorders>
            <w:noWrap w:val="0"/>
            <w:vAlign w:val="center"/>
          </w:tcPr>
          <w:p w14:paraId="2A354BC2">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050F54E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评标委员根据投标人提供的安全事故处理方案进行综合评审：</w:t>
            </w:r>
          </w:p>
          <w:p w14:paraId="0DCB2183">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57533DDA">
        <w:tblPrEx>
          <w:tblCellMar>
            <w:top w:w="0" w:type="dxa"/>
            <w:left w:w="108" w:type="dxa"/>
            <w:bottom w:w="0" w:type="dxa"/>
            <w:right w:w="108" w:type="dxa"/>
          </w:tblCellMar>
        </w:tblPrEx>
        <w:trPr>
          <w:trHeight w:val="1246" w:hRule="atLeast"/>
          <w:jc w:val="center"/>
        </w:trPr>
        <w:tc>
          <w:tcPr>
            <w:tcW w:w="765" w:type="pct"/>
            <w:vMerge w:val="continue"/>
            <w:tcBorders>
              <w:top w:val="single" w:color="auto" w:sz="4" w:space="0"/>
              <w:left w:val="single" w:color="auto" w:sz="4" w:space="0"/>
              <w:bottom w:val="single" w:color="auto" w:sz="4" w:space="0"/>
              <w:right w:val="single" w:color="auto" w:sz="4" w:space="0"/>
            </w:tcBorders>
            <w:noWrap w:val="0"/>
            <w:vAlign w:val="center"/>
          </w:tcPr>
          <w:p w14:paraId="6EEC8CC6">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655B1873">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评标委员根据投标人提供的项目人员培训方案进行综合评审：</w:t>
            </w:r>
          </w:p>
          <w:p w14:paraId="79F009F8">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21FE9C55">
        <w:tblPrEx>
          <w:tblCellMar>
            <w:top w:w="0" w:type="dxa"/>
            <w:left w:w="108" w:type="dxa"/>
            <w:bottom w:w="0" w:type="dxa"/>
            <w:right w:w="108" w:type="dxa"/>
          </w:tblCellMar>
        </w:tblPrEx>
        <w:trPr>
          <w:trHeight w:val="1342" w:hRule="atLeast"/>
          <w:jc w:val="center"/>
        </w:trPr>
        <w:tc>
          <w:tcPr>
            <w:tcW w:w="765" w:type="pct"/>
            <w:vMerge w:val="continue"/>
            <w:tcBorders>
              <w:top w:val="single" w:color="auto" w:sz="4" w:space="0"/>
              <w:left w:val="single" w:color="auto" w:sz="4" w:space="0"/>
              <w:bottom w:val="single" w:color="auto" w:sz="4" w:space="0"/>
              <w:right w:val="single" w:color="auto" w:sz="4" w:space="0"/>
            </w:tcBorders>
            <w:noWrap w:val="0"/>
            <w:vAlign w:val="center"/>
          </w:tcPr>
          <w:p w14:paraId="0DE57DC5">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705900BC">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评标委员根据投标人提供的档案管理方案进行综合评审：</w:t>
            </w:r>
          </w:p>
          <w:p w14:paraId="1A2D3CB4">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010719C2">
        <w:tblPrEx>
          <w:tblCellMar>
            <w:top w:w="0" w:type="dxa"/>
            <w:left w:w="108" w:type="dxa"/>
            <w:bottom w:w="0" w:type="dxa"/>
            <w:right w:w="108" w:type="dxa"/>
          </w:tblCellMar>
        </w:tblPrEx>
        <w:trPr>
          <w:trHeight w:val="1342" w:hRule="atLeast"/>
          <w:jc w:val="center"/>
        </w:trPr>
        <w:tc>
          <w:tcPr>
            <w:tcW w:w="765" w:type="pct"/>
            <w:vMerge w:val="continue"/>
            <w:tcBorders>
              <w:top w:val="single" w:color="auto" w:sz="4" w:space="0"/>
              <w:left w:val="single" w:color="auto" w:sz="4" w:space="0"/>
              <w:bottom w:val="single" w:color="auto" w:sz="4" w:space="0"/>
              <w:right w:val="single" w:color="auto" w:sz="4" w:space="0"/>
            </w:tcBorders>
            <w:noWrap w:val="0"/>
            <w:vAlign w:val="center"/>
          </w:tcPr>
          <w:p w14:paraId="64AECF7D">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7DA0012D">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评标委员根据投标人提供的员工队伍稳定方案进行综合评审：</w:t>
            </w:r>
          </w:p>
          <w:p w14:paraId="0CA6E0FA">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68E8442F">
        <w:tblPrEx>
          <w:tblCellMar>
            <w:top w:w="0" w:type="dxa"/>
            <w:left w:w="108" w:type="dxa"/>
            <w:bottom w:w="0" w:type="dxa"/>
            <w:right w:w="108" w:type="dxa"/>
          </w:tblCellMar>
        </w:tblPrEx>
        <w:trPr>
          <w:trHeight w:val="1323" w:hRule="atLeast"/>
          <w:jc w:val="center"/>
        </w:trPr>
        <w:tc>
          <w:tcPr>
            <w:tcW w:w="765" w:type="pct"/>
            <w:vMerge w:val="continue"/>
            <w:tcBorders>
              <w:top w:val="single" w:color="auto" w:sz="4" w:space="0"/>
              <w:left w:val="single" w:color="auto" w:sz="4" w:space="0"/>
              <w:bottom w:val="single" w:color="auto" w:sz="4" w:space="0"/>
              <w:right w:val="single" w:color="auto" w:sz="4" w:space="0"/>
            </w:tcBorders>
            <w:noWrap w:val="0"/>
            <w:vAlign w:val="center"/>
          </w:tcPr>
          <w:p w14:paraId="4AA4917C">
            <w:pPr>
              <w:widowControl/>
              <w:spacing w:line="400" w:lineRule="exact"/>
              <w:rPr>
                <w:rFonts w:ascii="宋体" w:hAnsi="宋体" w:cs="宋体"/>
                <w:color w:val="auto"/>
                <w:szCs w:val="21"/>
                <w:highlight w:val="none"/>
              </w:rPr>
            </w:pPr>
          </w:p>
        </w:tc>
        <w:tc>
          <w:tcPr>
            <w:tcW w:w="4234" w:type="pct"/>
            <w:tcBorders>
              <w:top w:val="single" w:color="auto" w:sz="4" w:space="0"/>
              <w:left w:val="single" w:color="auto" w:sz="4" w:space="0"/>
              <w:bottom w:val="single" w:color="auto" w:sz="4" w:space="0"/>
              <w:right w:val="single" w:color="auto" w:sz="4" w:space="0"/>
            </w:tcBorders>
            <w:noWrap w:val="0"/>
            <w:vAlign w:val="center"/>
          </w:tcPr>
          <w:p w14:paraId="341658A8">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评标委员根据投标人提供的进退场方案进行综合评审：</w:t>
            </w:r>
          </w:p>
          <w:p w14:paraId="03DEFAD9">
            <w:pPr>
              <w:spacing w:line="400" w:lineRule="exact"/>
              <w:jc w:val="left"/>
              <w:rPr>
                <w:rFonts w:ascii="宋体" w:hAnsi="宋体" w:cs="宋体"/>
                <w:color w:val="auto"/>
                <w:szCs w:val="21"/>
                <w:highlight w:val="none"/>
              </w:rPr>
            </w:pPr>
            <w:r>
              <w:rPr>
                <w:rFonts w:hint="eastAsia" w:ascii="宋体" w:hAnsi="宋体" w:cs="宋体"/>
                <w:color w:val="auto"/>
                <w:szCs w:val="21"/>
                <w:highlight w:val="none"/>
                <w:lang w:val="en-US" w:eastAsia="zh-CN"/>
              </w:rPr>
              <w:t>方案详细</w:t>
            </w:r>
            <w:r>
              <w:rPr>
                <w:rFonts w:hint="eastAsia" w:ascii="宋体" w:hAnsi="宋体" w:cs="宋体"/>
                <w:color w:val="auto"/>
                <w:szCs w:val="21"/>
                <w:highlight w:val="none"/>
              </w:rPr>
              <w:t>，内容科学适宜，得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较全面，</w:t>
            </w:r>
            <w:r>
              <w:rPr>
                <w:rFonts w:hint="eastAsia" w:ascii="宋体" w:hAnsi="宋体" w:cs="宋体"/>
                <w:color w:val="auto"/>
                <w:szCs w:val="21"/>
                <w:highlight w:val="none"/>
                <w:lang w:val="en-US" w:eastAsia="zh-CN"/>
              </w:rPr>
              <w:t>内容</w:t>
            </w:r>
            <w:r>
              <w:rPr>
                <w:rFonts w:hint="eastAsia" w:ascii="宋体" w:hAnsi="宋体" w:cs="宋体"/>
                <w:color w:val="auto"/>
                <w:szCs w:val="21"/>
                <w:highlight w:val="none"/>
              </w:rPr>
              <w:t>尚可，得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方案</w:t>
            </w:r>
            <w:r>
              <w:rPr>
                <w:rFonts w:hint="eastAsia" w:ascii="宋体" w:hAnsi="宋体" w:cs="宋体"/>
                <w:color w:val="auto"/>
                <w:szCs w:val="21"/>
                <w:highlight w:val="none"/>
              </w:rPr>
              <w:t>合理性欠佳，内容不够详实，得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分；未提供得0分。</w:t>
            </w:r>
          </w:p>
        </w:tc>
      </w:tr>
      <w:tr w14:paraId="4A5E1587">
        <w:tblPrEx>
          <w:tblCellMar>
            <w:top w:w="0" w:type="dxa"/>
            <w:left w:w="108" w:type="dxa"/>
            <w:bottom w:w="0" w:type="dxa"/>
            <w:right w:w="108" w:type="dxa"/>
          </w:tblCellMar>
        </w:tblPrEx>
        <w:trPr>
          <w:trHeight w:val="1574" w:hRule="atLeast"/>
          <w:jc w:val="center"/>
        </w:trPr>
        <w:tc>
          <w:tcPr>
            <w:tcW w:w="765" w:type="pct"/>
            <w:vMerge w:val="restart"/>
            <w:tcBorders>
              <w:top w:val="single" w:color="auto" w:sz="4" w:space="0"/>
              <w:left w:val="single" w:color="auto" w:sz="4" w:space="0"/>
              <w:bottom w:val="single" w:color="auto" w:sz="4" w:space="0"/>
              <w:right w:val="single" w:color="auto" w:sz="4" w:space="0"/>
            </w:tcBorders>
            <w:noWrap w:val="0"/>
            <w:vAlign w:val="center"/>
          </w:tcPr>
          <w:p w14:paraId="7BBFD956">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项目团队</w:t>
            </w:r>
          </w:p>
          <w:p w14:paraId="57FC42F2">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tc>
        <w:tc>
          <w:tcPr>
            <w:tcW w:w="423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1D2C44">
            <w:pPr>
              <w:spacing w:line="240" w:lineRule="auto"/>
              <w:rPr>
                <w:rFonts w:ascii="宋体" w:hAnsi="宋体" w:cs="宋体"/>
                <w:b/>
                <w:bCs/>
                <w:color w:val="auto"/>
                <w:szCs w:val="21"/>
                <w:highlight w:val="none"/>
              </w:rPr>
            </w:pPr>
            <w:r>
              <w:rPr>
                <w:rFonts w:hint="eastAsia" w:ascii="宋体" w:hAnsi="宋体" w:cs="宋体"/>
                <w:b/>
                <w:bCs/>
                <w:color w:val="auto"/>
                <w:szCs w:val="21"/>
                <w:highlight w:val="none"/>
              </w:rPr>
              <w:t>投标人拟派的项目</w:t>
            </w:r>
            <w:r>
              <w:rPr>
                <w:rFonts w:hint="eastAsia" w:ascii="宋体" w:hAnsi="宋体" w:cs="宋体"/>
                <w:b/>
                <w:bCs/>
                <w:color w:val="auto"/>
                <w:szCs w:val="21"/>
                <w:highlight w:val="none"/>
                <w:lang w:val="en-US" w:eastAsia="zh-CN"/>
              </w:rPr>
              <w:t>经理及主管人员</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7</w:t>
            </w:r>
            <w:r>
              <w:rPr>
                <w:rFonts w:hint="eastAsia" w:ascii="宋体" w:hAnsi="宋体" w:cs="宋体"/>
                <w:b/>
                <w:bCs/>
                <w:color w:val="auto"/>
                <w:szCs w:val="21"/>
                <w:highlight w:val="none"/>
              </w:rPr>
              <w:t>分）：</w:t>
            </w:r>
          </w:p>
          <w:p w14:paraId="3A369DB5">
            <w:pPr>
              <w:numPr>
                <w:ilvl w:val="-1"/>
                <w:numId w:val="0"/>
              </w:numPr>
              <w:spacing w:line="24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1、其中有一人</w:t>
            </w:r>
            <w:r>
              <w:rPr>
                <w:rFonts w:hint="eastAsia" w:ascii="宋体" w:hAnsi="宋体" w:cs="宋体"/>
                <w:color w:val="auto"/>
                <w:szCs w:val="21"/>
                <w:highlight w:val="none"/>
              </w:rPr>
              <w:t>具有本科学历得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p w14:paraId="63D7CD76">
            <w:pPr>
              <w:numPr>
                <w:ilvl w:val="-1"/>
                <w:numId w:val="0"/>
              </w:numPr>
              <w:spacing w:line="400" w:lineRule="exact"/>
              <w:jc w:val="left"/>
              <w:rPr>
                <w:rFonts w:hint="eastAsia" w:ascii="宋体" w:hAnsi="宋体" w:cs="宋体"/>
                <w:color w:val="auto"/>
                <w:szCs w:val="21"/>
                <w:highlight w:val="none"/>
                <w:lang w:eastAsia="zh-CN"/>
              </w:rPr>
            </w:pPr>
            <w:r>
              <w:rPr>
                <w:rFonts w:hint="eastAsia" w:ascii="宋体"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w:t>
            </w:r>
            <w:r>
              <w:rPr>
                <w:rFonts w:hint="eastAsia" w:ascii="宋体" w:hAnsi="宋体" w:cs="宋体"/>
                <w:color w:val="auto"/>
                <w:szCs w:val="21"/>
                <w:highlight w:val="none"/>
                <w:lang w:val="en-US" w:eastAsia="zh-CN"/>
              </w:rPr>
              <w:t>其中有一人</w:t>
            </w:r>
            <w:r>
              <w:rPr>
                <w:rFonts w:hint="eastAsia" w:ascii="宋体" w:hAnsi="宋体" w:cs="宋体"/>
                <w:color w:val="auto"/>
                <w:szCs w:val="21"/>
                <w:highlight w:val="none"/>
              </w:rPr>
              <w:t>具有红十字救护员证的得1分</w:t>
            </w:r>
            <w:r>
              <w:rPr>
                <w:rFonts w:hint="eastAsia" w:ascii="宋体" w:hAnsi="宋体" w:cs="宋体"/>
                <w:color w:val="auto"/>
                <w:szCs w:val="21"/>
                <w:highlight w:val="none"/>
                <w:lang w:eastAsia="zh-CN"/>
              </w:rPr>
              <w:t>；</w:t>
            </w:r>
          </w:p>
          <w:p w14:paraId="1FA618D5">
            <w:pPr>
              <w:numPr>
                <w:ilvl w:val="-1"/>
                <w:numId w:val="0"/>
              </w:num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3、其中有一人</w:t>
            </w:r>
            <w:r>
              <w:rPr>
                <w:rFonts w:hint="eastAsia" w:ascii="宋体" w:hAnsi="宋体" w:cs="宋体"/>
                <w:color w:val="auto"/>
                <w:szCs w:val="21"/>
                <w:highlight w:val="none"/>
              </w:rPr>
              <w:t>具有5年及以上与本项目服务内容相匹配(服务内容需包含运送/配送、安保服务、消毒等，至少包含两项内容)的项目经理管理经验的得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p w14:paraId="77E000B5">
            <w:pP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注:需提供学历证书、学信网查询截图，救护员证书、被服务单位出具加盖公章的类似本项目项目经理管理经验的证明材料、任职期间的服务合同(合同须反映出上述实施内容)、投标人为其缴纳近三个月内任意一个月带二维码核验的社保、医保缴纳证明，原件扫描上传。</w:t>
            </w:r>
          </w:p>
        </w:tc>
      </w:tr>
      <w:tr w14:paraId="45F68827">
        <w:tblPrEx>
          <w:tblCellMar>
            <w:top w:w="0" w:type="dxa"/>
            <w:left w:w="108" w:type="dxa"/>
            <w:bottom w:w="0" w:type="dxa"/>
            <w:right w:w="108" w:type="dxa"/>
          </w:tblCellMar>
        </w:tblPrEx>
        <w:trPr>
          <w:trHeight w:val="1350" w:hRule="atLeast"/>
          <w:jc w:val="center"/>
        </w:trPr>
        <w:tc>
          <w:tcPr>
            <w:tcW w:w="765" w:type="pct"/>
            <w:tcBorders>
              <w:top w:val="single" w:color="auto" w:sz="4" w:space="0"/>
              <w:left w:val="single" w:color="auto" w:sz="4" w:space="0"/>
              <w:bottom w:val="single" w:color="auto" w:sz="4" w:space="0"/>
              <w:right w:val="single" w:color="auto" w:sz="4" w:space="0"/>
            </w:tcBorders>
            <w:noWrap w:val="0"/>
            <w:vAlign w:val="center"/>
          </w:tcPr>
          <w:p w14:paraId="5E3453BC">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业绩</w:t>
            </w:r>
          </w:p>
          <w:p w14:paraId="51AA771F">
            <w:pPr>
              <w:widowControl/>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tc>
        <w:tc>
          <w:tcPr>
            <w:tcW w:w="4234" w:type="pct"/>
            <w:tcBorders>
              <w:top w:val="single" w:color="auto" w:sz="4" w:space="0"/>
              <w:left w:val="single" w:color="auto" w:sz="4" w:space="0"/>
              <w:bottom w:val="single" w:color="auto" w:sz="4" w:space="0"/>
              <w:right w:val="single" w:color="auto" w:sz="4" w:space="0"/>
            </w:tcBorders>
            <w:noWrap w:val="0"/>
            <w:vAlign w:val="center"/>
          </w:tcPr>
          <w:p w14:paraId="2D27746F">
            <w:pPr>
              <w:spacing w:line="400" w:lineRule="exact"/>
              <w:rPr>
                <w:rFonts w:ascii="宋体" w:hAnsi="宋体" w:cs="宋体"/>
                <w:color w:val="auto"/>
                <w:szCs w:val="21"/>
                <w:highlight w:val="none"/>
              </w:rPr>
            </w:pP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年1月1日（含）以来，投标人提供与本项目服务内容相匹配的业绩（服务内容需包含运送/配送、安保服务、</w:t>
            </w:r>
            <w:r>
              <w:rPr>
                <w:rFonts w:hint="eastAsia" w:ascii="宋体" w:hAnsi="宋体" w:cs="宋体"/>
                <w:color w:val="auto"/>
                <w:szCs w:val="21"/>
                <w:highlight w:val="none"/>
                <w:lang w:val="en-US" w:eastAsia="zh-CN"/>
              </w:rPr>
              <w:t>消毒</w:t>
            </w:r>
            <w:r>
              <w:rPr>
                <w:rFonts w:hint="eastAsia" w:ascii="宋体" w:hAnsi="宋体" w:cs="宋体"/>
                <w:color w:val="auto"/>
                <w:szCs w:val="21"/>
                <w:highlight w:val="none"/>
              </w:rPr>
              <w:t>等，至少</w:t>
            </w:r>
            <w:r>
              <w:rPr>
                <w:rFonts w:hint="eastAsia" w:ascii="宋体" w:hAnsi="宋体" w:cs="宋体"/>
                <w:color w:val="auto"/>
                <w:szCs w:val="21"/>
                <w:highlight w:val="none"/>
                <w:lang w:eastAsia="zh-CN"/>
              </w:rPr>
              <w:t>包含两项内容</w:t>
            </w:r>
            <w:r>
              <w:rPr>
                <w:rFonts w:hint="eastAsia" w:ascii="宋体" w:hAnsi="宋体" w:cs="宋体"/>
                <w:color w:val="auto"/>
                <w:szCs w:val="21"/>
                <w:highlight w:val="none"/>
              </w:rPr>
              <w:t>）的，每提供1个业绩得</w:t>
            </w:r>
            <w:r>
              <w:rPr>
                <w:rFonts w:hint="eastAsia" w:ascii="宋体" w:hAnsi="宋体" w:cs="宋体"/>
                <w:b/>
                <w:bCs/>
                <w:color w:val="auto"/>
                <w:szCs w:val="21"/>
                <w:highlight w:val="none"/>
                <w:lang w:val="en-US" w:eastAsia="zh-CN"/>
              </w:rPr>
              <w:t>2</w:t>
            </w:r>
            <w:r>
              <w:rPr>
                <w:rFonts w:hint="eastAsia" w:ascii="宋体" w:hAnsi="宋体" w:cs="宋体"/>
                <w:color w:val="auto"/>
                <w:szCs w:val="21"/>
                <w:highlight w:val="none"/>
              </w:rPr>
              <w:t>分，本项最多得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7CB541A">
            <w:pPr>
              <w:widowControl/>
              <w:spacing w:line="400" w:lineRule="exact"/>
              <w:rPr>
                <w:rFonts w:ascii="宋体" w:hAnsi="宋体" w:cs="宋体"/>
                <w:color w:val="auto"/>
                <w:szCs w:val="21"/>
                <w:highlight w:val="none"/>
              </w:rPr>
            </w:pPr>
            <w:r>
              <w:rPr>
                <w:rFonts w:hint="eastAsia" w:ascii="宋体" w:hAnsi="宋体" w:cs="宋体"/>
                <w:color w:val="auto"/>
                <w:szCs w:val="21"/>
                <w:highlight w:val="none"/>
              </w:rPr>
              <w:t>注:提供合同，合同须反映出业绩的相关信息;服务期内任意一次发票；同一业主单位的合同算一个业绩。原件扫描上传。。</w:t>
            </w:r>
          </w:p>
        </w:tc>
      </w:tr>
      <w:tr w14:paraId="27735B0D">
        <w:tblPrEx>
          <w:tblCellMar>
            <w:top w:w="0" w:type="dxa"/>
            <w:left w:w="108" w:type="dxa"/>
            <w:bottom w:w="0" w:type="dxa"/>
            <w:right w:w="108" w:type="dxa"/>
          </w:tblCellMar>
        </w:tblPrEx>
        <w:trPr>
          <w:trHeight w:val="1350" w:hRule="atLeast"/>
          <w:jc w:val="center"/>
        </w:trPr>
        <w:tc>
          <w:tcPr>
            <w:tcW w:w="765" w:type="pct"/>
            <w:tcBorders>
              <w:top w:val="single" w:color="auto" w:sz="4" w:space="0"/>
              <w:left w:val="single" w:color="auto" w:sz="4" w:space="0"/>
              <w:bottom w:val="single" w:color="auto" w:sz="4" w:space="0"/>
              <w:right w:val="single" w:color="auto" w:sz="4" w:space="0"/>
            </w:tcBorders>
            <w:noWrap w:val="0"/>
            <w:vAlign w:val="center"/>
          </w:tcPr>
          <w:p w14:paraId="3EDE0F06">
            <w:pPr>
              <w:widowControl/>
              <w:spacing w:line="400" w:lineRule="exact"/>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服务评价</w:t>
            </w:r>
          </w:p>
          <w:p w14:paraId="1D0929FD">
            <w:pPr>
              <w:widowControl/>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（4分）</w:t>
            </w:r>
          </w:p>
        </w:tc>
        <w:tc>
          <w:tcPr>
            <w:tcW w:w="4234" w:type="pct"/>
            <w:tcBorders>
              <w:top w:val="single" w:color="auto" w:sz="4" w:space="0"/>
              <w:left w:val="single" w:color="auto" w:sz="4" w:space="0"/>
              <w:bottom w:val="single" w:color="auto" w:sz="4" w:space="0"/>
              <w:right w:val="single" w:color="auto" w:sz="4" w:space="0"/>
            </w:tcBorders>
            <w:noWrap w:val="0"/>
            <w:vAlign w:val="center"/>
          </w:tcPr>
          <w:p w14:paraId="059E0164">
            <w:pPr>
              <w:widowControl/>
              <w:spacing w:line="400" w:lineRule="exact"/>
              <w:rPr>
                <w:rFonts w:hint="eastAsia" w:ascii="宋体" w:hAnsi="宋体" w:cs="宋体"/>
                <w:color w:val="auto"/>
                <w:szCs w:val="21"/>
                <w:highlight w:val="none"/>
              </w:rPr>
            </w:pPr>
            <w:r>
              <w:rPr>
                <w:rFonts w:hint="eastAsia"/>
                <w:color w:val="auto"/>
                <w:highlight w:val="none"/>
              </w:rPr>
              <w:t>从事</w:t>
            </w:r>
            <w:r>
              <w:rPr>
                <w:rFonts w:hint="eastAsia" w:ascii="宋体" w:hAnsi="宋体" w:cs="宋体"/>
                <w:color w:val="auto"/>
                <w:szCs w:val="21"/>
                <w:highlight w:val="none"/>
                <w:lang w:val="en-US" w:eastAsia="zh-CN"/>
              </w:rPr>
              <w:t>类似</w:t>
            </w:r>
            <w:r>
              <w:rPr>
                <w:rFonts w:hint="eastAsia"/>
                <w:color w:val="auto"/>
                <w:highlight w:val="none"/>
              </w:rPr>
              <w:t>服务</w:t>
            </w:r>
            <w:r>
              <w:rPr>
                <w:rFonts w:hint="eastAsia" w:ascii="宋体" w:hAnsi="宋体" w:cs="宋体"/>
                <w:color w:val="auto"/>
                <w:szCs w:val="21"/>
                <w:highlight w:val="none"/>
              </w:rPr>
              <w:t>（服务内容需包含运送/配送、安保服务、</w:t>
            </w:r>
            <w:r>
              <w:rPr>
                <w:rFonts w:hint="eastAsia" w:ascii="宋体" w:hAnsi="宋体" w:cs="宋体"/>
                <w:color w:val="auto"/>
                <w:szCs w:val="21"/>
                <w:highlight w:val="none"/>
                <w:lang w:val="en-US" w:eastAsia="zh-CN"/>
              </w:rPr>
              <w:t>消毒</w:t>
            </w:r>
            <w:r>
              <w:rPr>
                <w:rFonts w:hint="eastAsia" w:ascii="宋体" w:hAnsi="宋体" w:cs="宋体"/>
                <w:color w:val="auto"/>
                <w:szCs w:val="21"/>
                <w:highlight w:val="none"/>
              </w:rPr>
              <w:t>等，至少</w:t>
            </w:r>
            <w:r>
              <w:rPr>
                <w:rFonts w:hint="eastAsia" w:ascii="宋体" w:hAnsi="宋体" w:cs="宋体"/>
                <w:color w:val="auto"/>
                <w:szCs w:val="21"/>
                <w:highlight w:val="none"/>
                <w:lang w:eastAsia="zh-CN"/>
              </w:rPr>
              <w:t>包含两项内容</w:t>
            </w:r>
            <w:r>
              <w:rPr>
                <w:rFonts w:hint="eastAsia" w:ascii="宋体" w:hAnsi="宋体" w:cs="宋体"/>
                <w:color w:val="auto"/>
                <w:szCs w:val="21"/>
                <w:highlight w:val="none"/>
              </w:rPr>
              <w:t>）</w:t>
            </w:r>
            <w:r>
              <w:rPr>
                <w:rFonts w:hint="eastAsia"/>
                <w:color w:val="auto"/>
                <w:highlight w:val="none"/>
              </w:rPr>
              <w:t>，有合同方（甲方）或合同方主管部门开具的优秀评价证明的（提供合同方（甲方）或合同方主管部门盖章的证明材料复印件加盖供应商公章，同时提供项目</w:t>
            </w:r>
            <w:r>
              <w:rPr>
                <w:rFonts w:hint="eastAsia"/>
                <w:color w:val="auto"/>
                <w:highlight w:val="none"/>
                <w:lang w:val="en-US" w:eastAsia="zh-CN"/>
              </w:rPr>
              <w:t>甲方的</w:t>
            </w:r>
            <w:r>
              <w:rPr>
                <w:rFonts w:hint="eastAsia"/>
                <w:color w:val="auto"/>
                <w:highlight w:val="none"/>
              </w:rPr>
              <w:t>联系人、联系电话)，每个得</w:t>
            </w:r>
            <w:r>
              <w:rPr>
                <w:rFonts w:hint="eastAsia"/>
                <w:color w:val="auto"/>
                <w:highlight w:val="none"/>
                <w:lang w:val="en-US" w:eastAsia="zh-CN"/>
              </w:rPr>
              <w:t>2</w:t>
            </w:r>
            <w:r>
              <w:rPr>
                <w:rFonts w:hint="eastAsia"/>
                <w:color w:val="auto"/>
                <w:highlight w:val="none"/>
              </w:rPr>
              <w:t>分，本项最多得</w:t>
            </w:r>
            <w:r>
              <w:rPr>
                <w:rFonts w:hint="eastAsia"/>
                <w:color w:val="auto"/>
                <w:highlight w:val="none"/>
                <w:lang w:val="en-US" w:eastAsia="zh-CN"/>
              </w:rPr>
              <w:t>4</w:t>
            </w:r>
            <w:r>
              <w:rPr>
                <w:rFonts w:hint="eastAsia"/>
                <w:color w:val="auto"/>
                <w:highlight w:val="none"/>
              </w:rPr>
              <w:t>分。</w:t>
            </w:r>
          </w:p>
        </w:tc>
      </w:tr>
    </w:tbl>
    <w:p w14:paraId="7D586106">
      <w:pPr>
        <w:pStyle w:val="326"/>
        <w:spacing w:line="400" w:lineRule="exact"/>
        <w:ind w:left="0" w:leftChars="0" w:firstLine="0" w:firstLineChars="0"/>
        <w:rPr>
          <w:color w:val="auto"/>
          <w:highlight w:val="none"/>
        </w:rPr>
      </w:pPr>
    </w:p>
    <w:p w14:paraId="50E88524">
      <w:pPr>
        <w:spacing w:line="360" w:lineRule="auto"/>
        <w:rPr>
          <w:rFonts w:ascii="宋体" w:hAnsi="宋体"/>
          <w:color w:val="auto"/>
          <w:szCs w:val="21"/>
          <w:highlight w:val="none"/>
        </w:rPr>
      </w:pPr>
      <w:r>
        <w:rPr>
          <w:rFonts w:hint="eastAsia" w:ascii="宋体" w:hAnsi="宋体"/>
          <w:color w:val="auto"/>
          <w:szCs w:val="21"/>
          <w:highlight w:val="none"/>
        </w:rPr>
        <w:t>注：1、评标时，未能按以上要求提供相应证明的，不作为评标依据，不得分。</w:t>
      </w:r>
    </w:p>
    <w:p w14:paraId="40592F55">
      <w:pPr>
        <w:spacing w:line="360" w:lineRule="auto"/>
        <w:ind w:left="840" w:leftChars="200" w:hanging="420" w:hangingChars="200"/>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、以上要求提供政府发文/政府证书的，如投标人提供协会或其他民间机构发文/证书的，一律不得分。</w:t>
      </w:r>
    </w:p>
    <w:p w14:paraId="79328EE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、每个荣誉、证书或业绩只计分一次。</w:t>
      </w:r>
    </w:p>
    <w:p w14:paraId="0ADEB5AD">
      <w:pPr>
        <w:spacing w:line="360" w:lineRule="auto"/>
        <w:ind w:firstLine="420" w:firstLineChars="200"/>
        <w:rPr>
          <w:rFonts w:hint="eastAsia"/>
          <w:color w:val="auto"/>
          <w:highlight w:val="none"/>
          <w:lang w:val="en-US" w:eastAsia="zh-CN"/>
        </w:rPr>
        <w:sectPr>
          <w:footerReference r:id="rId5" w:type="first"/>
          <w:headerReference r:id="rId3" w:type="default"/>
          <w:footerReference r:id="rId4"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r>
        <w:rPr>
          <w:rFonts w:hint="eastAsia" w:ascii="宋体" w:hAnsi="宋体"/>
          <w:color w:val="auto"/>
          <w:szCs w:val="21"/>
          <w:highlight w:val="none"/>
          <w:lang w:val="en-US" w:eastAsia="zh-CN"/>
        </w:rPr>
        <w:t>4、以上投标人提供的证明材料，需真实有效，中标后2个工作日内提供原件由采购人逐一核查材料的真实性，若经发现存在弄虚作假行为，取消中标人中标资格，同时追究其法律赔偿与责任。</w:t>
      </w:r>
    </w:p>
    <w:p w14:paraId="16754BAA">
      <w:pPr>
        <w:rPr>
          <w:color w:val="auto"/>
          <w:highlight w:val="none"/>
        </w:rPr>
      </w:pPr>
    </w:p>
    <w:p w14:paraId="7CA20255">
      <w:pPr>
        <w:pStyle w:val="233"/>
        <w:rPr>
          <w:rFonts w:ascii="黑体" w:eastAsia="黑体"/>
          <w:bCs/>
          <w:color w:val="auto"/>
          <w:sz w:val="44"/>
          <w:highlight w:val="none"/>
        </w:rPr>
      </w:pPr>
      <w:r>
        <w:rPr>
          <w:rFonts w:hint="eastAsia" w:ascii="黑体" w:eastAsia="黑体"/>
          <w:bCs/>
          <w:color w:val="auto"/>
          <w:sz w:val="44"/>
          <w:highlight w:val="none"/>
        </w:rPr>
        <w:t>第六章  投标</w:t>
      </w:r>
      <w:bookmarkEnd w:id="61"/>
      <w:bookmarkEnd w:id="62"/>
      <w:bookmarkEnd w:id="63"/>
      <w:r>
        <w:rPr>
          <w:rFonts w:hint="eastAsia" w:ascii="黑体" w:eastAsia="黑体"/>
          <w:bCs/>
          <w:color w:val="auto"/>
          <w:sz w:val="44"/>
          <w:highlight w:val="none"/>
        </w:rPr>
        <w:t xml:space="preserve">文件格式 </w:t>
      </w:r>
    </w:p>
    <w:p w14:paraId="38FF8B94">
      <w:pPr>
        <w:jc w:val="center"/>
        <w:rPr>
          <w:rFonts w:ascii="宋体" w:hAnsi="宋体"/>
          <w:b/>
          <w:color w:val="auto"/>
          <w:sz w:val="72"/>
          <w:highlight w:val="none"/>
        </w:rPr>
      </w:pPr>
      <w:bookmarkStart w:id="64" w:name="_Hlt26671244"/>
      <w:bookmarkEnd w:id="64"/>
      <w:bookmarkStart w:id="65" w:name="_Hlt26955039"/>
      <w:bookmarkEnd w:id="65"/>
      <w:bookmarkStart w:id="66" w:name="_Toc26554094"/>
      <w:bookmarkStart w:id="67" w:name="_Toc49090576"/>
      <w:bookmarkStart w:id="68" w:name="_Toc120614282"/>
    </w:p>
    <w:p w14:paraId="78FC4287">
      <w:pPr>
        <w:jc w:val="center"/>
        <w:rPr>
          <w:rFonts w:ascii="宋体" w:hAnsi="宋体"/>
          <w:b/>
          <w:color w:val="auto"/>
          <w:sz w:val="72"/>
          <w:highlight w:val="none"/>
        </w:rPr>
      </w:pPr>
      <w:r>
        <w:rPr>
          <w:rFonts w:hint="eastAsia" w:ascii="宋体" w:hAnsi="宋体"/>
          <w:b/>
          <w:color w:val="auto"/>
          <w:sz w:val="72"/>
          <w:highlight w:val="none"/>
        </w:rPr>
        <w:t>投  标  文  件</w:t>
      </w:r>
    </w:p>
    <w:p w14:paraId="20F33A36">
      <w:pPr>
        <w:jc w:val="center"/>
        <w:rPr>
          <w:rFonts w:ascii="宋体" w:hAnsi="宋体"/>
          <w:b/>
          <w:color w:val="auto"/>
          <w:sz w:val="72"/>
          <w:highlight w:val="none"/>
        </w:rPr>
      </w:pPr>
    </w:p>
    <w:p w14:paraId="61949742">
      <w:pPr>
        <w:jc w:val="center"/>
        <w:rPr>
          <w:rFonts w:ascii="宋体" w:hAnsi="宋体"/>
          <w:b/>
          <w:color w:val="auto"/>
          <w:sz w:val="72"/>
          <w:highlight w:val="none"/>
        </w:rPr>
      </w:pPr>
    </w:p>
    <w:p w14:paraId="4DFB39D9">
      <w:pPr>
        <w:jc w:val="center"/>
        <w:rPr>
          <w:rFonts w:ascii="宋体" w:hAnsi="宋体"/>
          <w:b/>
          <w:color w:val="auto"/>
          <w:sz w:val="36"/>
          <w:highlight w:val="none"/>
        </w:rPr>
      </w:pPr>
    </w:p>
    <w:p w14:paraId="5D83B1D4">
      <w:pPr>
        <w:jc w:val="center"/>
        <w:rPr>
          <w:rFonts w:ascii="宋体" w:hAnsi="宋体"/>
          <w:b/>
          <w:color w:val="auto"/>
          <w:sz w:val="36"/>
          <w:highlight w:val="none"/>
        </w:rPr>
      </w:pPr>
    </w:p>
    <w:p w14:paraId="32EF91C7">
      <w:pPr>
        <w:jc w:val="center"/>
        <w:rPr>
          <w:rFonts w:ascii="宋体" w:hAnsi="宋体"/>
          <w:b/>
          <w:color w:val="auto"/>
          <w:sz w:val="36"/>
          <w:highlight w:val="none"/>
        </w:rPr>
      </w:pPr>
    </w:p>
    <w:p w14:paraId="4ED8C61A">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77CD8C9B">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116625A3">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06912F1F">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0078123A">
      <w:pPr>
        <w:spacing w:line="440" w:lineRule="exact"/>
        <w:jc w:val="center"/>
        <w:rPr>
          <w:rFonts w:ascii="宋体" w:hAnsi="宋体"/>
          <w:b/>
          <w:bCs/>
          <w:color w:val="auto"/>
          <w:sz w:val="32"/>
          <w:szCs w:val="32"/>
          <w:highlight w:val="none"/>
        </w:rPr>
      </w:pPr>
    </w:p>
    <w:p w14:paraId="779E803D">
      <w:pPr>
        <w:spacing w:line="440" w:lineRule="exact"/>
        <w:rPr>
          <w:rFonts w:ascii="宋体" w:hAnsi="宋体"/>
          <w:color w:val="auto"/>
          <w:highlight w:val="none"/>
        </w:rPr>
      </w:pPr>
    </w:p>
    <w:p w14:paraId="3028F677">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p>
    <w:p w14:paraId="3136F578">
      <w:pPr>
        <w:spacing w:line="44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投标文件目录</w:t>
      </w:r>
    </w:p>
    <w:p w14:paraId="0730EC2D">
      <w:pPr>
        <w:spacing w:line="440" w:lineRule="exact"/>
        <w:jc w:val="center"/>
        <w:rPr>
          <w:rFonts w:ascii="宋体" w:hAnsi="宋体"/>
          <w:b/>
          <w:bCs/>
          <w:color w:val="auto"/>
          <w:sz w:val="32"/>
          <w:szCs w:val="32"/>
          <w:highlight w:val="none"/>
        </w:rPr>
      </w:pPr>
    </w:p>
    <w:p w14:paraId="17966B6D">
      <w:pPr>
        <w:ind w:left="480"/>
        <w:rPr>
          <w:rFonts w:ascii="宋体" w:hAnsi="宋体"/>
          <w:i/>
          <w:color w:val="auto"/>
          <w:sz w:val="24"/>
          <w:highlight w:val="none"/>
          <w:u w:val="single"/>
        </w:rPr>
      </w:pPr>
      <w:r>
        <w:rPr>
          <w:rFonts w:hint="eastAsia" w:ascii="宋体" w:hAnsi="宋体"/>
          <w:i/>
          <w:color w:val="auto"/>
          <w:sz w:val="24"/>
          <w:highlight w:val="none"/>
          <w:u w:val="single"/>
        </w:rPr>
        <w:t>一、法人或者其他组织的营业执照等证明文件，自然人的身份证明</w:t>
      </w:r>
    </w:p>
    <w:p w14:paraId="0FFA88F0">
      <w:pPr>
        <w:ind w:left="480"/>
        <w:rPr>
          <w:rFonts w:ascii="宋体" w:hAnsi="宋体"/>
          <w:i/>
          <w:color w:val="auto"/>
          <w:sz w:val="24"/>
          <w:highlight w:val="none"/>
          <w:u w:val="single"/>
        </w:rPr>
      </w:pPr>
      <w:r>
        <w:rPr>
          <w:rFonts w:hint="eastAsia" w:ascii="宋体" w:hAnsi="宋体"/>
          <w:i/>
          <w:color w:val="auto"/>
          <w:sz w:val="24"/>
          <w:highlight w:val="none"/>
          <w:u w:val="single"/>
        </w:rPr>
        <w:t>二、上一年度的财务状况报告（投标人成立不满一年无需提供）</w:t>
      </w:r>
    </w:p>
    <w:p w14:paraId="1060200A">
      <w:pPr>
        <w:ind w:left="480"/>
        <w:rPr>
          <w:rFonts w:ascii="宋体" w:hAnsi="宋体"/>
          <w:i/>
          <w:color w:val="auto"/>
          <w:sz w:val="24"/>
          <w:highlight w:val="none"/>
          <w:u w:val="single"/>
        </w:rPr>
      </w:pPr>
      <w:r>
        <w:rPr>
          <w:rFonts w:hint="eastAsia" w:ascii="宋体" w:hAnsi="宋体"/>
          <w:i/>
          <w:color w:val="auto"/>
          <w:sz w:val="24"/>
          <w:highlight w:val="none"/>
          <w:u w:val="single"/>
        </w:rPr>
        <w:t>三、依法缴纳税收和社会保障资金的相关材料（提供提交投标文件截止时间前</w:t>
      </w:r>
      <w:r>
        <w:rPr>
          <w:rFonts w:hint="eastAsia" w:ascii="宋体" w:hAnsi="宋体"/>
          <w:i/>
          <w:color w:val="auto"/>
          <w:sz w:val="24"/>
          <w:highlight w:val="none"/>
          <w:u w:val="single"/>
          <w:lang w:val="en-US" w:eastAsia="zh-CN"/>
        </w:rPr>
        <w:t>半</w:t>
      </w:r>
      <w:r>
        <w:rPr>
          <w:rFonts w:hint="eastAsia" w:ascii="宋体" w:hAnsi="宋体"/>
          <w:i/>
          <w:color w:val="auto"/>
          <w:sz w:val="24"/>
          <w:highlight w:val="none"/>
          <w:u w:val="single"/>
        </w:rPr>
        <w:t>年内至少一个月依法缴纳税收及缴纳社会保障资金的证明材料。投标人依法享受缓缴、免缴税收、社会保障资金的提供证明材料）</w:t>
      </w:r>
    </w:p>
    <w:p w14:paraId="4964B18E">
      <w:pPr>
        <w:ind w:left="480"/>
        <w:rPr>
          <w:rFonts w:ascii="宋体" w:hAnsi="宋体"/>
          <w:i/>
          <w:color w:val="auto"/>
          <w:sz w:val="24"/>
          <w:highlight w:val="none"/>
          <w:u w:val="single"/>
        </w:rPr>
      </w:pPr>
      <w:r>
        <w:rPr>
          <w:rFonts w:hint="eastAsia" w:ascii="宋体" w:hAnsi="宋体"/>
          <w:i/>
          <w:color w:val="auto"/>
          <w:sz w:val="24"/>
          <w:highlight w:val="none"/>
          <w:u w:val="single"/>
        </w:rPr>
        <w:t>四、具备履行合同所必需的设备和专业技术能力的书面声明</w:t>
      </w:r>
    </w:p>
    <w:p w14:paraId="10E1F0F3">
      <w:pPr>
        <w:spacing w:line="440" w:lineRule="exact"/>
        <w:ind w:firstLine="480"/>
        <w:rPr>
          <w:rFonts w:ascii="宋体" w:hAnsi="宋体"/>
          <w:i/>
          <w:color w:val="auto"/>
          <w:sz w:val="24"/>
          <w:highlight w:val="none"/>
          <w:u w:val="single"/>
        </w:rPr>
      </w:pPr>
      <w:r>
        <w:rPr>
          <w:rFonts w:hint="eastAsia" w:ascii="宋体" w:hAnsi="宋体"/>
          <w:i/>
          <w:color w:val="auto"/>
          <w:sz w:val="24"/>
          <w:highlight w:val="none"/>
          <w:u w:val="single"/>
        </w:rPr>
        <w:t>五、参加政府采购活动前 3 年内在经营活动中没有重大违法记录的书面声明</w:t>
      </w:r>
    </w:p>
    <w:p w14:paraId="01EBBFB6">
      <w:pPr>
        <w:spacing w:line="440" w:lineRule="exact"/>
        <w:ind w:firstLine="480"/>
        <w:rPr>
          <w:rFonts w:ascii="宋体" w:hAnsi="宋体"/>
          <w:i/>
          <w:color w:val="auto"/>
          <w:sz w:val="24"/>
          <w:highlight w:val="none"/>
          <w:u w:val="single"/>
        </w:rPr>
      </w:pPr>
      <w:r>
        <w:rPr>
          <w:rFonts w:hint="eastAsia" w:ascii="宋体" w:hAnsi="宋体"/>
          <w:i/>
          <w:color w:val="auto"/>
          <w:sz w:val="24"/>
          <w:highlight w:val="none"/>
          <w:u w:val="single"/>
        </w:rPr>
        <w:t>六、供应商信用承诺函</w:t>
      </w:r>
    </w:p>
    <w:p w14:paraId="266BCF1F">
      <w:pPr>
        <w:spacing w:line="440" w:lineRule="exact"/>
        <w:ind w:firstLine="480"/>
        <w:rPr>
          <w:rFonts w:ascii="宋体" w:hAnsi="宋体"/>
          <w:i/>
          <w:color w:val="auto"/>
          <w:sz w:val="24"/>
          <w:highlight w:val="none"/>
          <w:u w:val="single"/>
        </w:rPr>
      </w:pPr>
      <w:r>
        <w:rPr>
          <w:rFonts w:hint="eastAsia" w:ascii="宋体" w:hAnsi="宋体"/>
          <w:i/>
          <w:color w:val="auto"/>
          <w:sz w:val="24"/>
          <w:highlight w:val="none"/>
          <w:u w:val="single"/>
        </w:rPr>
        <w:t>七、特定资格要求的证明文件（如果本项目设置特定资格要求，则需要提供）</w:t>
      </w:r>
    </w:p>
    <w:p w14:paraId="6D5FD8EE">
      <w:pPr>
        <w:spacing w:line="440" w:lineRule="exact"/>
        <w:ind w:firstLine="480"/>
        <w:rPr>
          <w:rFonts w:ascii="宋体" w:hAnsi="宋体"/>
          <w:i/>
          <w:color w:val="auto"/>
          <w:sz w:val="24"/>
          <w:highlight w:val="none"/>
          <w:u w:val="single"/>
        </w:rPr>
      </w:pPr>
      <w:r>
        <w:rPr>
          <w:rFonts w:hint="eastAsia" w:ascii="宋体" w:hAnsi="宋体"/>
          <w:i/>
          <w:color w:val="auto"/>
          <w:sz w:val="24"/>
          <w:highlight w:val="none"/>
          <w:u w:val="single"/>
        </w:rPr>
        <w:t>八、法人授权书</w:t>
      </w:r>
    </w:p>
    <w:p w14:paraId="5615B107">
      <w:pPr>
        <w:spacing w:line="440" w:lineRule="exact"/>
        <w:ind w:firstLine="480"/>
        <w:rPr>
          <w:rFonts w:ascii="宋体" w:hAnsi="宋体"/>
          <w:i/>
          <w:color w:val="auto"/>
          <w:sz w:val="24"/>
          <w:highlight w:val="none"/>
          <w:u w:val="single"/>
        </w:rPr>
      </w:pPr>
      <w:r>
        <w:rPr>
          <w:rFonts w:hint="eastAsia" w:ascii="宋体" w:hAnsi="宋体"/>
          <w:i/>
          <w:color w:val="auto"/>
          <w:sz w:val="24"/>
          <w:highlight w:val="none"/>
          <w:u w:val="single"/>
        </w:rPr>
        <w:t>九、投标函</w:t>
      </w:r>
    </w:p>
    <w:p w14:paraId="4C472C5F">
      <w:pPr>
        <w:spacing w:line="440" w:lineRule="exact"/>
        <w:ind w:firstLine="480"/>
        <w:rPr>
          <w:rFonts w:ascii="宋体" w:hAnsi="宋体"/>
          <w:color w:val="auto"/>
          <w:sz w:val="24"/>
          <w:highlight w:val="none"/>
        </w:rPr>
      </w:pPr>
      <w:r>
        <w:rPr>
          <w:rFonts w:hint="eastAsia" w:ascii="宋体" w:hAnsi="宋体"/>
          <w:color w:val="auto"/>
          <w:sz w:val="24"/>
          <w:highlight w:val="none"/>
        </w:rPr>
        <w:t>十、企业报价折扣证明（</w:t>
      </w:r>
      <w:r>
        <w:rPr>
          <w:rFonts w:hint="eastAsia" w:ascii="宋体" w:hAnsi="宋体"/>
          <w:i w:val="0"/>
          <w:iCs w:val="0"/>
          <w:color w:val="auto"/>
          <w:sz w:val="24"/>
          <w:highlight w:val="none"/>
          <w:u w:val="none"/>
        </w:rPr>
        <w:t>中小企业声明函</w:t>
      </w:r>
      <w:r>
        <w:rPr>
          <w:rFonts w:hint="eastAsia" w:ascii="宋体" w:hAnsi="宋体"/>
          <w:color w:val="auto"/>
          <w:sz w:val="24"/>
          <w:highlight w:val="none"/>
        </w:rPr>
        <w:t>、残疾人福利性单位声明函）</w:t>
      </w:r>
    </w:p>
    <w:p w14:paraId="63B78F12">
      <w:pPr>
        <w:spacing w:line="440" w:lineRule="exact"/>
        <w:ind w:firstLine="480"/>
        <w:rPr>
          <w:rFonts w:hint="eastAsia" w:ascii="宋体" w:hAnsi="宋体" w:eastAsia="宋体"/>
          <w:color w:val="auto"/>
          <w:sz w:val="24"/>
          <w:highlight w:val="none"/>
          <w:lang w:eastAsia="zh-CN"/>
        </w:rPr>
      </w:pPr>
      <w:r>
        <w:rPr>
          <w:rFonts w:hint="eastAsia" w:ascii="宋体" w:hAnsi="宋体"/>
          <w:color w:val="auto"/>
          <w:sz w:val="24"/>
          <w:highlight w:val="none"/>
        </w:rPr>
        <w:t>十一、联合体协议</w:t>
      </w:r>
    </w:p>
    <w:p w14:paraId="69B991FF">
      <w:pPr>
        <w:spacing w:line="440" w:lineRule="exact"/>
        <w:ind w:firstLine="480"/>
        <w:rPr>
          <w:rFonts w:hint="eastAsia" w:ascii="宋体" w:hAnsi="宋体"/>
          <w:i w:val="0"/>
          <w:iCs/>
          <w:color w:val="auto"/>
          <w:sz w:val="24"/>
          <w:highlight w:val="none"/>
          <w:u w:val="none"/>
        </w:rPr>
      </w:pPr>
      <w:r>
        <w:rPr>
          <w:rFonts w:hint="eastAsia" w:ascii="宋体" w:hAnsi="宋体"/>
          <w:i w:val="0"/>
          <w:iCs/>
          <w:color w:val="auto"/>
          <w:sz w:val="24"/>
          <w:highlight w:val="none"/>
          <w:u w:val="none"/>
        </w:rPr>
        <w:t>十二、投标分项报价表</w:t>
      </w:r>
    </w:p>
    <w:p w14:paraId="09136422">
      <w:pPr>
        <w:spacing w:line="440" w:lineRule="exact"/>
        <w:ind w:firstLine="480"/>
        <w:rPr>
          <w:rFonts w:ascii="宋体" w:hAnsi="宋体"/>
          <w:color w:val="auto"/>
          <w:sz w:val="24"/>
          <w:highlight w:val="none"/>
        </w:rPr>
      </w:pPr>
      <w:r>
        <w:rPr>
          <w:rFonts w:hint="eastAsia" w:ascii="宋体" w:hAnsi="宋体"/>
          <w:color w:val="auto"/>
          <w:sz w:val="24"/>
          <w:highlight w:val="none"/>
        </w:rPr>
        <w:t>十三、技术要求响应及偏离表</w:t>
      </w:r>
    </w:p>
    <w:p w14:paraId="2D4C029B">
      <w:pPr>
        <w:spacing w:line="440" w:lineRule="exact"/>
        <w:ind w:firstLine="480"/>
        <w:rPr>
          <w:rFonts w:ascii="宋体" w:hAnsi="宋体"/>
          <w:color w:val="auto"/>
          <w:sz w:val="24"/>
          <w:highlight w:val="none"/>
        </w:rPr>
      </w:pPr>
      <w:r>
        <w:rPr>
          <w:rFonts w:hint="eastAsia" w:ascii="宋体" w:hAnsi="宋体"/>
          <w:color w:val="auto"/>
          <w:sz w:val="24"/>
          <w:highlight w:val="none"/>
        </w:rPr>
        <w:t>十四、商务要求响应及偏离表</w:t>
      </w:r>
    </w:p>
    <w:p w14:paraId="70A81A0D">
      <w:pPr>
        <w:spacing w:line="440" w:lineRule="exact"/>
        <w:ind w:firstLine="480"/>
        <w:rPr>
          <w:rFonts w:ascii="宋体" w:hAnsi="宋体"/>
          <w:i/>
          <w:color w:val="auto"/>
          <w:sz w:val="24"/>
          <w:highlight w:val="none"/>
          <w:u w:val="single"/>
        </w:rPr>
      </w:pPr>
      <w:r>
        <w:rPr>
          <w:rFonts w:hint="eastAsia" w:ascii="宋体" w:hAnsi="宋体"/>
          <w:i/>
          <w:color w:val="auto"/>
          <w:sz w:val="24"/>
          <w:highlight w:val="none"/>
          <w:u w:val="single"/>
        </w:rPr>
        <w:t>十五、开标一览表</w:t>
      </w:r>
    </w:p>
    <w:p w14:paraId="3E0E477A">
      <w:pPr>
        <w:spacing w:line="440" w:lineRule="exact"/>
        <w:ind w:firstLine="480"/>
        <w:rPr>
          <w:rFonts w:ascii="宋体" w:hAnsi="宋体"/>
          <w:i w:val="0"/>
          <w:iCs/>
          <w:color w:val="auto"/>
          <w:sz w:val="24"/>
          <w:highlight w:val="none"/>
          <w:u w:val="none"/>
        </w:rPr>
      </w:pPr>
      <w:r>
        <w:rPr>
          <w:rFonts w:hint="eastAsia" w:ascii="宋体" w:hAnsi="宋体"/>
          <w:i w:val="0"/>
          <w:iCs/>
          <w:color w:val="auto"/>
          <w:sz w:val="24"/>
          <w:highlight w:val="none"/>
          <w:u w:val="none"/>
        </w:rPr>
        <w:t>十六、主要标的信息</w:t>
      </w:r>
    </w:p>
    <w:p w14:paraId="0AE2B0C6">
      <w:pPr>
        <w:spacing w:line="440" w:lineRule="exact"/>
        <w:ind w:firstLine="480"/>
        <w:rPr>
          <w:rFonts w:ascii="宋体" w:hAnsi="宋体"/>
          <w:color w:val="auto"/>
          <w:sz w:val="24"/>
          <w:highlight w:val="none"/>
        </w:rPr>
      </w:pPr>
    </w:p>
    <w:p w14:paraId="46C0DEAF">
      <w:pPr>
        <w:spacing w:line="440" w:lineRule="exact"/>
        <w:ind w:firstLine="480"/>
        <w:rPr>
          <w:rFonts w:ascii="宋体" w:hAnsi="宋体"/>
          <w:color w:val="auto"/>
          <w:sz w:val="24"/>
          <w:highlight w:val="none"/>
        </w:rPr>
      </w:pPr>
    </w:p>
    <w:p w14:paraId="7421F400">
      <w:pPr>
        <w:spacing w:line="440" w:lineRule="exact"/>
        <w:ind w:firstLine="480"/>
        <w:rPr>
          <w:rFonts w:ascii="宋体" w:hAnsi="宋体"/>
          <w:color w:val="auto"/>
          <w:sz w:val="24"/>
          <w:highlight w:val="none"/>
        </w:rPr>
      </w:pPr>
    </w:p>
    <w:p w14:paraId="4BABBC0F">
      <w:pPr>
        <w:spacing w:line="440" w:lineRule="exact"/>
        <w:ind w:firstLine="480"/>
        <w:rPr>
          <w:rFonts w:ascii="宋体" w:hAnsi="宋体"/>
          <w:color w:val="auto"/>
          <w:sz w:val="24"/>
          <w:highlight w:val="none"/>
        </w:rPr>
      </w:pPr>
    </w:p>
    <w:p w14:paraId="4B5A020B">
      <w:pPr>
        <w:spacing w:line="440" w:lineRule="exact"/>
        <w:ind w:firstLine="480"/>
        <w:rPr>
          <w:rFonts w:ascii="宋体" w:hAnsi="宋体"/>
          <w:color w:val="auto"/>
          <w:sz w:val="24"/>
          <w:highlight w:val="none"/>
        </w:rPr>
      </w:pPr>
    </w:p>
    <w:p w14:paraId="2BDD2996">
      <w:pPr>
        <w:spacing w:line="440" w:lineRule="exact"/>
        <w:ind w:firstLine="480"/>
        <w:rPr>
          <w:rFonts w:ascii="宋体" w:hAnsi="宋体"/>
          <w:color w:val="auto"/>
          <w:sz w:val="24"/>
          <w:highlight w:val="none"/>
        </w:rPr>
      </w:pPr>
    </w:p>
    <w:p w14:paraId="5CBEC313">
      <w:pPr>
        <w:spacing w:line="440" w:lineRule="exact"/>
        <w:ind w:firstLine="480"/>
        <w:rPr>
          <w:rFonts w:ascii="宋体" w:hAnsi="宋体"/>
          <w:color w:val="auto"/>
          <w:sz w:val="24"/>
          <w:highlight w:val="none"/>
        </w:rPr>
      </w:pPr>
    </w:p>
    <w:p w14:paraId="5D7C0897">
      <w:pPr>
        <w:spacing w:line="440" w:lineRule="exact"/>
        <w:ind w:firstLine="480"/>
        <w:rPr>
          <w:rFonts w:ascii="宋体" w:hAnsi="宋体"/>
          <w:color w:val="auto"/>
          <w:sz w:val="24"/>
          <w:highlight w:val="none"/>
        </w:rPr>
      </w:pPr>
    </w:p>
    <w:p w14:paraId="5D5190AB">
      <w:pPr>
        <w:spacing w:line="440" w:lineRule="exact"/>
        <w:ind w:firstLine="480"/>
        <w:rPr>
          <w:rFonts w:ascii="宋体" w:hAnsi="宋体"/>
          <w:color w:val="auto"/>
          <w:sz w:val="24"/>
          <w:highlight w:val="none"/>
        </w:rPr>
      </w:pPr>
    </w:p>
    <w:p w14:paraId="28E30DFF">
      <w:pPr>
        <w:spacing w:line="440" w:lineRule="exact"/>
        <w:ind w:firstLine="480"/>
        <w:rPr>
          <w:rFonts w:ascii="宋体" w:hAnsi="宋体"/>
          <w:color w:val="auto"/>
          <w:sz w:val="24"/>
          <w:highlight w:val="none"/>
        </w:rPr>
      </w:pPr>
    </w:p>
    <w:p w14:paraId="64FDDA3F">
      <w:pPr>
        <w:spacing w:line="440" w:lineRule="exact"/>
        <w:ind w:firstLine="480"/>
        <w:rPr>
          <w:rFonts w:ascii="宋体" w:hAnsi="宋体"/>
          <w:color w:val="auto"/>
          <w:sz w:val="24"/>
          <w:highlight w:val="none"/>
        </w:rPr>
      </w:pPr>
    </w:p>
    <w:p w14:paraId="3C37E4CA">
      <w:pPr>
        <w:spacing w:line="440" w:lineRule="exact"/>
        <w:ind w:firstLine="480"/>
        <w:rPr>
          <w:rFonts w:ascii="宋体" w:hAnsi="宋体"/>
          <w:color w:val="auto"/>
          <w:sz w:val="24"/>
          <w:highlight w:val="none"/>
        </w:rPr>
      </w:pPr>
    </w:p>
    <w:p w14:paraId="552A0CE5">
      <w:pPr>
        <w:spacing w:line="440" w:lineRule="exact"/>
        <w:ind w:firstLine="480"/>
        <w:rPr>
          <w:rFonts w:ascii="宋体" w:hAnsi="宋体"/>
          <w:color w:val="auto"/>
          <w:sz w:val="24"/>
          <w:highlight w:val="none"/>
        </w:rPr>
      </w:pPr>
    </w:p>
    <w:p w14:paraId="2DB69991">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一、法人或者其他组织的营业执照等证明文件，自然人的身份证明</w:t>
      </w:r>
    </w:p>
    <w:p w14:paraId="27B9A9B7">
      <w:pPr>
        <w:spacing w:line="440" w:lineRule="exact"/>
        <w:ind w:firstLine="480"/>
        <w:rPr>
          <w:rFonts w:ascii="宋体" w:hAnsi="宋体"/>
          <w:color w:val="auto"/>
          <w:sz w:val="24"/>
          <w:highlight w:val="none"/>
        </w:rPr>
      </w:pPr>
    </w:p>
    <w:p w14:paraId="289F3FC4">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二、上一年度的财务状况报告</w:t>
      </w:r>
    </w:p>
    <w:p w14:paraId="33E91D62">
      <w:pPr>
        <w:spacing w:line="440" w:lineRule="exact"/>
        <w:ind w:firstLine="480"/>
        <w:rPr>
          <w:rFonts w:ascii="宋体" w:hAnsi="宋体"/>
          <w:bCs/>
          <w:color w:val="auto"/>
          <w:sz w:val="24"/>
          <w:highlight w:val="none"/>
        </w:rPr>
      </w:pPr>
      <w:r>
        <w:rPr>
          <w:rFonts w:hint="eastAsia" w:ascii="宋体" w:hAnsi="宋体"/>
          <w:bCs/>
          <w:color w:val="auto"/>
          <w:sz w:val="24"/>
          <w:highlight w:val="none"/>
        </w:rPr>
        <w:t>投标人成立不满一年不需提供</w:t>
      </w:r>
    </w:p>
    <w:p w14:paraId="2DD3D917">
      <w:pPr>
        <w:rPr>
          <w:rFonts w:ascii="黑体" w:hAnsi="黑体" w:eastAsia="黑体"/>
          <w:i/>
          <w:color w:val="auto"/>
          <w:sz w:val="32"/>
          <w:szCs w:val="32"/>
          <w:highlight w:val="none"/>
          <w:u w:val="single"/>
        </w:rPr>
      </w:pPr>
    </w:p>
    <w:p w14:paraId="36C09454">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三、依法缴纳税收和社会保障资金的相关材料</w:t>
      </w:r>
      <w:bookmarkEnd w:id="66"/>
      <w:bookmarkEnd w:id="67"/>
      <w:bookmarkEnd w:id="68"/>
    </w:p>
    <w:p w14:paraId="39D668BC">
      <w:pPr>
        <w:ind w:firstLine="480"/>
        <w:rPr>
          <w:rFonts w:ascii="宋体" w:hAnsi="宋体"/>
          <w:bCs/>
          <w:color w:val="auto"/>
          <w:sz w:val="24"/>
          <w:highlight w:val="none"/>
        </w:rPr>
      </w:pPr>
      <w:bookmarkStart w:id="69" w:name="_Toc120614284"/>
      <w:r>
        <w:rPr>
          <w:rFonts w:hint="eastAsia" w:ascii="宋体" w:hAnsi="宋体"/>
          <w:bCs/>
          <w:color w:val="auto"/>
          <w:sz w:val="24"/>
          <w:highlight w:val="none"/>
        </w:rPr>
        <w:t>提供提交投标文件截止时间前</w:t>
      </w:r>
      <w:r>
        <w:rPr>
          <w:rFonts w:hint="eastAsia" w:ascii="宋体" w:hAnsi="宋体"/>
          <w:bCs/>
          <w:color w:val="auto"/>
          <w:sz w:val="24"/>
          <w:highlight w:val="none"/>
          <w:lang w:val="en-US" w:eastAsia="zh-CN"/>
        </w:rPr>
        <w:t>半</w:t>
      </w:r>
      <w:r>
        <w:rPr>
          <w:rFonts w:hint="eastAsia" w:ascii="宋体" w:hAnsi="宋体"/>
          <w:bCs/>
          <w:color w:val="auto"/>
          <w:sz w:val="24"/>
          <w:highlight w:val="none"/>
        </w:rPr>
        <w:t>年内至少一个月依法缴纳税收及缴纳社会保障资金的证明材料。投标人依法享受缓缴、免缴税收、社会保障资金的提供证明材料。</w:t>
      </w:r>
    </w:p>
    <w:p w14:paraId="202522A7">
      <w:pPr>
        <w:rPr>
          <w:rFonts w:ascii="黑体" w:hAnsi="黑体" w:eastAsia="黑体"/>
          <w:i/>
          <w:color w:val="auto"/>
          <w:sz w:val="32"/>
          <w:szCs w:val="32"/>
          <w:highlight w:val="none"/>
          <w:u w:val="single"/>
        </w:rPr>
      </w:pPr>
    </w:p>
    <w:p w14:paraId="5655DE4B">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四、具备履行合同所必需的设备和专业技术能力的书面声明</w:t>
      </w:r>
    </w:p>
    <w:p w14:paraId="6DE49147">
      <w:pPr>
        <w:spacing w:line="460" w:lineRule="exact"/>
        <w:ind w:firstLine="492"/>
        <w:rPr>
          <w:rFonts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532BF8FA">
      <w:pPr>
        <w:spacing w:line="460" w:lineRule="exact"/>
        <w:ind w:firstLine="492"/>
        <w:rPr>
          <w:rFonts w:ascii="宋体" w:hAnsi="宋体"/>
          <w:bCs/>
          <w:color w:val="auto"/>
          <w:sz w:val="24"/>
          <w:highlight w:val="non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62AF58F7">
      <w:pPr>
        <w:spacing w:line="460" w:lineRule="exact"/>
        <w:ind w:firstLine="492"/>
        <w:rPr>
          <w:rFonts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w:t>
      </w:r>
    </w:p>
    <w:p w14:paraId="38D6880E">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p>
    <w:p w14:paraId="3D5FCB49">
      <w:pPr>
        <w:pStyle w:val="48"/>
        <w:ind w:firstLine="0"/>
        <w:rPr>
          <w:color w:val="auto"/>
          <w:highlight w:val="none"/>
        </w:rPr>
      </w:pPr>
    </w:p>
    <w:p w14:paraId="3EEC70DF">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五、参加政府采购活动前 3 年内在经营活动中没有重大违法记录的书面声明</w:t>
      </w:r>
    </w:p>
    <w:p w14:paraId="276B92D7">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25353452">
      <w:pPr>
        <w:spacing w:line="460" w:lineRule="exact"/>
        <w:rPr>
          <w:rFonts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7486CE3D">
      <w:pPr>
        <w:numPr>
          <w:ilvl w:val="0"/>
          <w:numId w:val="0"/>
        </w:num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lang w:val="en-US" w:eastAsia="zh-CN"/>
        </w:rPr>
        <w:t>六、</w:t>
      </w:r>
      <w:r>
        <w:rPr>
          <w:rFonts w:hint="eastAsia" w:ascii="黑体" w:hAnsi="黑体" w:eastAsia="黑体"/>
          <w:i/>
          <w:color w:val="auto"/>
          <w:sz w:val="32"/>
          <w:szCs w:val="32"/>
          <w:highlight w:val="none"/>
          <w:u w:val="single"/>
        </w:rPr>
        <w:t>供应商信用承诺函</w:t>
      </w:r>
    </w:p>
    <w:p w14:paraId="2C4E5AEE">
      <w:pPr>
        <w:spacing w:line="500" w:lineRule="exact"/>
        <w:jc w:val="center"/>
        <w:rPr>
          <w:rFonts w:ascii="宋体" w:hAnsi="宋体" w:eastAsia="等线"/>
          <w:b/>
          <w:color w:val="auto"/>
          <w:sz w:val="24"/>
          <w:szCs w:val="24"/>
          <w:highlight w:val="none"/>
        </w:rPr>
      </w:pPr>
      <w:r>
        <w:rPr>
          <w:rFonts w:hint="eastAsia" w:ascii="宋体" w:hAnsi="宋体" w:eastAsia="等线"/>
          <w:b/>
          <w:color w:val="auto"/>
          <w:sz w:val="24"/>
          <w:szCs w:val="24"/>
          <w:highlight w:val="none"/>
        </w:rPr>
        <w:t>供应商信用承诺函</w:t>
      </w:r>
    </w:p>
    <w:p w14:paraId="6570D6BF">
      <w:pPr>
        <w:spacing w:line="500" w:lineRule="exact"/>
        <w:rPr>
          <w:rFonts w:ascii="方正仿宋_GBK" w:hAnsi="等线" w:eastAsia="等线"/>
          <w:color w:val="auto"/>
          <w:sz w:val="24"/>
          <w:szCs w:val="24"/>
          <w:highlight w:val="none"/>
        </w:rPr>
      </w:pPr>
    </w:p>
    <w:p w14:paraId="2151A0B3">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承诺主体名称：</w:t>
      </w:r>
    </w:p>
    <w:p w14:paraId="34DC9AE9">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统一社会信用代码：</w:t>
      </w:r>
    </w:p>
    <w:p w14:paraId="18C20CE2">
      <w:pPr>
        <w:spacing w:line="560" w:lineRule="exact"/>
        <w:rPr>
          <w:rFonts w:ascii="宋体" w:hAnsi="宋体" w:cs="宋体"/>
          <w:color w:val="auto"/>
          <w:sz w:val="24"/>
          <w:szCs w:val="24"/>
          <w:highlight w:val="none"/>
        </w:rPr>
      </w:pPr>
    </w:p>
    <w:p w14:paraId="58E40763">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7020974D">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一、对提供给注册登记部门、行业管理部门、司法部门、行业组织以及在政府采购活动中提交的所有资料的合法性、真实性、准确性和有效性负责；</w:t>
      </w:r>
    </w:p>
    <w:p w14:paraId="237ACF2E">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3DC6BBC8">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三、严格依法开展生产经营活动，主动接受行业监管，自愿接受依法开展的日常检查；违法失信经营后将自愿接受约束和惩戒，并依法承担相应责任；</w:t>
      </w:r>
    </w:p>
    <w:p w14:paraId="070F3DB6">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四、自觉接受行政管理部门、行业组织、社会公众、新闻舆论的监督；</w:t>
      </w:r>
    </w:p>
    <w:p w14:paraId="55C4BCA2">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五、自觉做到自我约束、自我管理，不制假售假、商标侵权、虚假宣传、违约毁约、恶意逃债、偷税漏税、垄断和不正当竞争，维护经营者、消费者的合法权益；</w:t>
      </w:r>
    </w:p>
    <w:p w14:paraId="18939AC2">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六、提出政府采购质疑和投诉坚持依法依规、诚实信用原则，在全国范围12个月内没有三次以上查无实据的政府采购投诉；</w:t>
      </w:r>
    </w:p>
    <w:p w14:paraId="0AD0C9F6">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七、严格遵守信用信息公示相关规定，向社会公示信用信息；</w:t>
      </w:r>
    </w:p>
    <w:p w14:paraId="425DC231">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八、在“信用中国”和“中国政府采购网”网站中无违法违规、较重或严重失信记录；</w:t>
      </w:r>
    </w:p>
    <w:p w14:paraId="2406883F">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55CE710D">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十、本承诺书自签订之日起生效。</w:t>
      </w:r>
    </w:p>
    <w:p w14:paraId="1CEA6F40">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 （注：法定代表人或负责人、主体名称发生变更的应当重新做出承诺。）</w:t>
      </w:r>
    </w:p>
    <w:p w14:paraId="1C8EE867">
      <w:pPr>
        <w:spacing w:line="560" w:lineRule="exact"/>
        <w:rPr>
          <w:rFonts w:ascii="宋体" w:hAnsi="宋体" w:cs="宋体"/>
          <w:color w:val="auto"/>
          <w:sz w:val="24"/>
          <w:szCs w:val="24"/>
          <w:highlight w:val="none"/>
        </w:rPr>
      </w:pPr>
    </w:p>
    <w:p w14:paraId="26F238EF">
      <w:pPr>
        <w:spacing w:line="5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承诺单位（加盖CA电子公章）：           </w:t>
      </w:r>
    </w:p>
    <w:p w14:paraId="1D861609">
      <w:pPr>
        <w:spacing w:line="5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047F47A3">
      <w:pPr>
        <w:spacing w:line="560" w:lineRule="exact"/>
        <w:rPr>
          <w:rFonts w:ascii="宋体" w:hAnsi="宋体" w:eastAsia="等线" w:cs="宋体"/>
          <w:color w:val="auto"/>
          <w:highlight w:val="none"/>
        </w:rPr>
      </w:pPr>
    </w:p>
    <w:p w14:paraId="1C190E1C">
      <w:pPr>
        <w:rPr>
          <w:rFonts w:ascii="黑体" w:hAnsi="黑体" w:eastAsia="黑体"/>
          <w:i/>
          <w:color w:val="auto"/>
          <w:sz w:val="32"/>
          <w:szCs w:val="32"/>
          <w:highlight w:val="none"/>
          <w:u w:val="single"/>
        </w:rPr>
      </w:pPr>
    </w:p>
    <w:p w14:paraId="67DDB828">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七、特定资格要求的证明文件</w:t>
      </w:r>
    </w:p>
    <w:p w14:paraId="09541560">
      <w:pPr>
        <w:spacing w:line="460" w:lineRule="exact"/>
        <w:rPr>
          <w:rFonts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p>
    <w:p w14:paraId="01B989B7">
      <w:pPr>
        <w:spacing w:line="460" w:lineRule="exact"/>
        <w:rPr>
          <w:rFonts w:ascii="宋体" w:hAnsi="宋体"/>
          <w:bCs/>
          <w:color w:val="auto"/>
          <w:sz w:val="24"/>
          <w:highlight w:val="none"/>
        </w:rPr>
      </w:pPr>
    </w:p>
    <w:p w14:paraId="3798EAE5">
      <w:pPr>
        <w:jc w:val="both"/>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八、法人授权书</w:t>
      </w:r>
    </w:p>
    <w:p w14:paraId="1FC14912">
      <w:pPr>
        <w:pStyle w:val="306"/>
        <w:ind w:firstLine="480"/>
        <w:rPr>
          <w:color w:val="auto"/>
          <w:sz w:val="24"/>
          <w:szCs w:val="24"/>
          <w:highlight w:val="none"/>
        </w:rPr>
      </w:pPr>
      <w:r>
        <w:rPr>
          <w:rFonts w:hint="eastAsia"/>
          <w:color w:val="auto"/>
          <w:sz w:val="24"/>
          <w:szCs w:val="24"/>
          <w:highlight w:val="none"/>
        </w:rPr>
        <w:t>本授权书声明：____________（投标人名称）授权________________（被授权人的姓名）为我方就</w:t>
      </w:r>
      <w:r>
        <w:rPr>
          <w:rFonts w:hint="eastAsia"/>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项目编号）（项目名称）</w:t>
      </w:r>
      <w:r>
        <w:rPr>
          <w:rFonts w:hint="eastAsia"/>
          <w:color w:val="auto"/>
          <w:sz w:val="24"/>
          <w:szCs w:val="24"/>
          <w:highlight w:val="none"/>
        </w:rPr>
        <w:t>采购活动的合法代理人，以本单位名义全权处理一切与该项目采购有关的事务。</w:t>
      </w:r>
    </w:p>
    <w:p w14:paraId="5948CD59">
      <w:pPr>
        <w:pStyle w:val="306"/>
        <w:ind w:firstLine="480"/>
        <w:rPr>
          <w:color w:val="auto"/>
          <w:sz w:val="24"/>
          <w:szCs w:val="24"/>
          <w:highlight w:val="none"/>
        </w:rPr>
      </w:pPr>
      <w:r>
        <w:rPr>
          <w:rFonts w:hint="eastAsia"/>
          <w:color w:val="auto"/>
          <w:sz w:val="24"/>
          <w:szCs w:val="24"/>
          <w:highlight w:val="none"/>
        </w:rPr>
        <w:t>本授权书于______年____月____日起生效，特此声明。</w:t>
      </w:r>
    </w:p>
    <w:p w14:paraId="2E1177A1">
      <w:pPr>
        <w:pStyle w:val="306"/>
        <w:ind w:firstLine="0"/>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14:paraId="47206D18">
      <w:pPr>
        <w:pStyle w:val="306"/>
        <w:ind w:firstLine="0"/>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14:paraId="64217DA5">
      <w:pPr>
        <w:pStyle w:val="306"/>
        <w:ind w:firstLine="1200"/>
        <w:rPr>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47EB1B37">
      <w:pPr>
        <w:pStyle w:val="306"/>
        <w:ind w:firstLine="480"/>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14:paraId="7B37C36B">
      <w:pPr>
        <w:pStyle w:val="306"/>
        <w:ind w:firstLine="480"/>
        <w:rPr>
          <w:color w:val="auto"/>
          <w:sz w:val="24"/>
          <w:szCs w:val="24"/>
          <w:highlight w:val="none"/>
        </w:rPr>
      </w:pPr>
      <w:r>
        <w:rPr>
          <w:rFonts w:hint="eastAsia"/>
          <w:color w:val="auto"/>
          <w:sz w:val="24"/>
          <w:szCs w:val="24"/>
          <w:highlight w:val="none"/>
        </w:rPr>
        <w:t xml:space="preserve">      日期：</w:t>
      </w:r>
      <w:bookmarkStart w:id="70" w:name="_格式3__银行出具的资信证明"/>
      <w:bookmarkEnd w:id="70"/>
      <w:bookmarkStart w:id="71" w:name="_Hlt26955070"/>
      <w:bookmarkEnd w:id="71"/>
      <w:bookmarkStart w:id="72" w:name="_Hlt26671380"/>
      <w:bookmarkEnd w:id="72"/>
      <w:r>
        <w:rPr>
          <w:rFonts w:hint="eastAsia"/>
          <w:color w:val="auto"/>
          <w:sz w:val="24"/>
          <w:szCs w:val="24"/>
          <w:highlight w:val="none"/>
          <w:u w:val="single"/>
        </w:rPr>
        <w:t xml:space="preserve">                                         </w:t>
      </w:r>
    </w:p>
    <w:p w14:paraId="36866AE4">
      <w:pPr>
        <w:pStyle w:val="48"/>
        <w:rPr>
          <w:i/>
          <w:color w:val="auto"/>
          <w:sz w:val="24"/>
          <w:szCs w:val="24"/>
          <w:highlight w:val="none"/>
          <w:u w:val="single"/>
        </w:rPr>
      </w:pPr>
    </w:p>
    <w:p w14:paraId="04568A24">
      <w:pPr>
        <w:pStyle w:val="48"/>
        <w:ind w:firstLine="0"/>
        <w:rPr>
          <w:color w:val="auto"/>
          <w:highlight w:val="none"/>
        </w:rPr>
      </w:pPr>
    </w:p>
    <w:p w14:paraId="19B85C32">
      <w:pPr>
        <w:spacing w:line="460" w:lineRule="exact"/>
        <w:rPr>
          <w:rFonts w:ascii="楷体" w:hAnsi="楷体" w:eastAsia="楷体"/>
          <w:bCs/>
          <w:color w:val="auto"/>
          <w:sz w:val="24"/>
          <w:szCs w:val="24"/>
          <w:highlight w:val="none"/>
        </w:rPr>
      </w:pPr>
    </w:p>
    <w:p w14:paraId="5F494238">
      <w:pPr>
        <w:spacing w:line="460" w:lineRule="exact"/>
        <w:rPr>
          <w:rFonts w:ascii="宋体" w:hAnsi="宋体"/>
          <w:bCs/>
          <w:color w:val="auto"/>
          <w:sz w:val="24"/>
          <w:highlight w:val="none"/>
        </w:rPr>
      </w:pPr>
    </w:p>
    <w:p w14:paraId="0D1FCAC7">
      <w:pPr>
        <w:pStyle w:val="234"/>
        <w:ind w:firstLine="3390"/>
        <w:jc w:val="both"/>
        <w:rPr>
          <w:rFonts w:ascii="黑体" w:hAnsi="黑体" w:eastAsia="黑体" w:cs="Times New Roman"/>
          <w:bCs w:val="0"/>
          <w:i/>
          <w:color w:val="auto"/>
          <w:sz w:val="32"/>
          <w:szCs w:val="32"/>
          <w:highlight w:val="none"/>
          <w:u w:val="single"/>
        </w:rPr>
      </w:pPr>
      <w:r>
        <w:rPr>
          <w:rFonts w:ascii="宋体" w:hAnsi="宋体"/>
          <w:bCs w:val="0"/>
          <w:color w:val="auto"/>
          <w:sz w:val="24"/>
          <w:highlight w:val="none"/>
        </w:rPr>
        <w:br w:type="page" w:clear="all"/>
      </w:r>
      <w:r>
        <w:rPr>
          <w:rFonts w:hint="eastAsia" w:ascii="黑体" w:hAnsi="黑体" w:eastAsia="黑体"/>
          <w:bCs w:val="0"/>
          <w:i/>
          <w:color w:val="auto"/>
          <w:sz w:val="32"/>
          <w:szCs w:val="32"/>
          <w:highlight w:val="none"/>
          <w:u w:val="single"/>
        </w:rPr>
        <w:t>九、</w:t>
      </w:r>
      <w:r>
        <w:rPr>
          <w:rFonts w:hint="eastAsia" w:ascii="黑体" w:hAnsi="黑体" w:eastAsia="黑体" w:cs="Times New Roman"/>
          <w:bCs w:val="0"/>
          <w:i/>
          <w:color w:val="auto"/>
          <w:sz w:val="32"/>
          <w:szCs w:val="32"/>
          <w:highlight w:val="none"/>
          <w:u w:val="single"/>
        </w:rPr>
        <w:t>投标函</w:t>
      </w:r>
    </w:p>
    <w:p w14:paraId="2AE711AA">
      <w:pPr>
        <w:pStyle w:val="326"/>
        <w:spacing w:before="0" w:after="0" w:line="420" w:lineRule="exact"/>
        <w:ind w:firstLine="0"/>
        <w:rPr>
          <w:rFonts w:hint="default" w:ascii="宋体" w:hAnsi="宋体" w:eastAsia="宋体"/>
          <w:color w:val="auto"/>
          <w:szCs w:val="21"/>
          <w:highlight w:val="none"/>
          <w:lang w:val="en-US" w:eastAsia="zh-CN"/>
        </w:rPr>
      </w:pPr>
      <w:r>
        <w:rPr>
          <w:rFonts w:hint="eastAsia" w:ascii="宋体" w:hAnsi="宋体"/>
          <w:color w:val="auto"/>
          <w:szCs w:val="21"/>
          <w:highlight w:val="none"/>
        </w:rPr>
        <w:t>致：</w:t>
      </w:r>
      <w:r>
        <w:rPr>
          <w:rFonts w:hint="eastAsia" w:ascii="宋体" w:hAnsi="宋体"/>
          <w:color w:val="auto"/>
          <w:szCs w:val="21"/>
          <w:highlight w:val="none"/>
          <w:lang w:val="en-US" w:eastAsia="zh-CN"/>
        </w:rPr>
        <w:t>江苏弘业国际技术工程有限公司</w:t>
      </w:r>
    </w:p>
    <w:p w14:paraId="636633C4">
      <w:pPr>
        <w:pStyle w:val="326"/>
        <w:spacing w:before="0" w:after="0" w:line="420" w:lineRule="exact"/>
        <w:rPr>
          <w:rFonts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号招标文件，正式授权下述签字人______(姓名)代表我方______________（投标人的名称），全权处理本次项目投标的有关事宜。</w:t>
      </w:r>
    </w:p>
    <w:p w14:paraId="30AA9443">
      <w:pPr>
        <w:pStyle w:val="326"/>
        <w:spacing w:before="0" w:after="0" w:line="420" w:lineRule="exact"/>
        <w:rPr>
          <w:rFonts w:ascii="宋体" w:hAnsi="宋体"/>
          <w:color w:val="auto"/>
          <w:szCs w:val="21"/>
          <w:highlight w:val="none"/>
        </w:rPr>
      </w:pPr>
      <w:r>
        <w:rPr>
          <w:rFonts w:hint="eastAsia" w:ascii="宋体" w:hAnsi="宋体"/>
          <w:color w:val="auto"/>
          <w:szCs w:val="21"/>
          <w:highlight w:val="none"/>
        </w:rPr>
        <w:t>据此函，__________签字人兹宣布同意如下：</w:t>
      </w:r>
    </w:p>
    <w:p w14:paraId="26B1C258">
      <w:pPr>
        <w:pStyle w:val="326"/>
        <w:spacing w:before="0" w:after="0" w:line="420" w:lineRule="exact"/>
        <w:rPr>
          <w:rFonts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61C913EC">
      <w:pPr>
        <w:pStyle w:val="326"/>
        <w:spacing w:before="0" w:after="0" w:line="420" w:lineRule="exact"/>
        <w:rPr>
          <w:rFonts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4AC34C87">
      <w:pPr>
        <w:pStyle w:val="326"/>
        <w:spacing w:before="0" w:after="0" w:line="420" w:lineRule="exact"/>
        <w:rPr>
          <w:rFonts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1011DC66">
      <w:pPr>
        <w:pStyle w:val="326"/>
        <w:spacing w:before="0" w:after="0" w:line="420" w:lineRule="exact"/>
        <w:rPr>
          <w:rFonts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271F5506">
      <w:pPr>
        <w:pStyle w:val="326"/>
        <w:spacing w:before="0" w:after="0" w:line="420" w:lineRule="exact"/>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0CE06E68">
      <w:pPr>
        <w:pStyle w:val="326"/>
        <w:spacing w:before="0" w:after="0" w:line="420" w:lineRule="exact"/>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02DFA1EE">
      <w:pPr>
        <w:pStyle w:val="326"/>
        <w:spacing w:before="0" w:after="0" w:line="420" w:lineRule="exact"/>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.与本投标有关的正式通讯地址为：</w:t>
      </w:r>
    </w:p>
    <w:p w14:paraId="1EED5B25">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地          址：</w:t>
      </w:r>
    </w:p>
    <w:p w14:paraId="10857ABE">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邮          编：</w:t>
      </w:r>
    </w:p>
    <w:p w14:paraId="6D97F684">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电          话：</w:t>
      </w:r>
    </w:p>
    <w:p w14:paraId="2739AB88">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传          真：</w:t>
      </w:r>
    </w:p>
    <w:p w14:paraId="315CC8EF">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投标人开户行：</w:t>
      </w:r>
    </w:p>
    <w:p w14:paraId="395022D1">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 xml:space="preserve">账          号： </w:t>
      </w:r>
    </w:p>
    <w:p w14:paraId="1B49EF6B">
      <w:pPr>
        <w:pStyle w:val="326"/>
        <w:spacing w:before="0" w:after="0" w:line="420" w:lineRule="exact"/>
        <w:ind w:left="420"/>
        <w:rPr>
          <w:rFonts w:ascii="宋体" w:hAnsi="宋体"/>
          <w:color w:val="auto"/>
          <w:szCs w:val="21"/>
          <w:highlight w:val="none"/>
        </w:rPr>
      </w:pPr>
      <w:r>
        <w:rPr>
          <w:rFonts w:hint="eastAsia" w:ascii="宋体" w:hAnsi="宋体"/>
          <w:color w:val="auto"/>
          <w:szCs w:val="21"/>
          <w:highlight w:val="none"/>
        </w:rPr>
        <w:t>日           期：________年____月____日</w:t>
      </w:r>
    </w:p>
    <w:p w14:paraId="29495B01">
      <w:pPr>
        <w:spacing w:line="560" w:lineRule="exact"/>
        <w:ind w:firstLine="240"/>
        <w:jc w:val="center"/>
        <w:rPr>
          <w:rFonts w:ascii="宋体" w:hAnsi="宋体"/>
          <w:bCs/>
          <w:color w:val="auto"/>
          <w:sz w:val="24"/>
          <w:highlight w:val="none"/>
        </w:rPr>
      </w:pPr>
    </w:p>
    <w:p w14:paraId="2B18E753">
      <w:pPr>
        <w:spacing w:line="560" w:lineRule="exact"/>
        <w:ind w:firstLine="240"/>
        <w:jc w:val="center"/>
        <w:rPr>
          <w:rFonts w:ascii="宋体" w:hAnsi="宋体"/>
          <w:bCs/>
          <w:color w:val="auto"/>
          <w:sz w:val="24"/>
          <w:highlight w:val="none"/>
        </w:rPr>
      </w:pPr>
    </w:p>
    <w:p w14:paraId="63C20A88">
      <w:pPr>
        <w:spacing w:line="560" w:lineRule="exact"/>
        <w:ind w:firstLine="240"/>
        <w:jc w:val="center"/>
        <w:rPr>
          <w:rFonts w:ascii="宋体" w:hAnsi="宋体"/>
          <w:bCs/>
          <w:color w:val="auto"/>
          <w:sz w:val="24"/>
          <w:highlight w:val="none"/>
        </w:rPr>
      </w:pPr>
    </w:p>
    <w:p w14:paraId="2DA69B89">
      <w:pPr>
        <w:spacing w:line="560" w:lineRule="exact"/>
        <w:jc w:val="both"/>
        <w:rPr>
          <w:rFonts w:ascii="宋体" w:hAnsi="宋体"/>
          <w:bCs/>
          <w:color w:val="auto"/>
          <w:sz w:val="24"/>
          <w:highlight w:val="none"/>
        </w:rPr>
      </w:pPr>
    </w:p>
    <w:p w14:paraId="5DEEF073">
      <w:pPr>
        <w:pStyle w:val="49"/>
        <w:rPr>
          <w:rFonts w:ascii="宋体" w:hAnsi="宋体"/>
          <w:bCs/>
          <w:color w:val="auto"/>
          <w:sz w:val="24"/>
          <w:highlight w:val="none"/>
        </w:rPr>
      </w:pPr>
    </w:p>
    <w:p w14:paraId="203C665F">
      <w:pPr>
        <w:rPr>
          <w:color w:val="auto"/>
          <w:highlight w:val="none"/>
        </w:rPr>
      </w:pPr>
    </w:p>
    <w:p w14:paraId="0B46E239">
      <w:pPr>
        <w:spacing w:line="460" w:lineRule="exact"/>
        <w:jc w:val="center"/>
        <w:rPr>
          <w:rFonts w:ascii="黑体" w:hAnsi="黑体" w:eastAsia="黑体"/>
          <w:b/>
          <w:color w:val="auto"/>
          <w:sz w:val="32"/>
          <w:szCs w:val="32"/>
          <w:highlight w:val="none"/>
        </w:rPr>
      </w:pPr>
    </w:p>
    <w:p w14:paraId="7F480B6A">
      <w:pPr>
        <w:spacing w:line="460" w:lineRule="exact"/>
        <w:jc w:val="center"/>
        <w:rPr>
          <w:rFonts w:ascii="黑体" w:hAnsi="黑体" w:eastAsia="黑体"/>
          <w:b/>
          <w:i/>
          <w:iCs/>
          <w:color w:val="auto"/>
          <w:sz w:val="32"/>
          <w:szCs w:val="32"/>
          <w:highlight w:val="none"/>
          <w:u w:val="single"/>
        </w:rPr>
      </w:pPr>
      <w:r>
        <w:rPr>
          <w:rFonts w:hint="eastAsia" w:ascii="黑体" w:hAnsi="黑体" w:eastAsia="黑体"/>
          <w:b/>
          <w:i w:val="0"/>
          <w:iCs w:val="0"/>
          <w:color w:val="auto"/>
          <w:sz w:val="32"/>
          <w:szCs w:val="32"/>
          <w:highlight w:val="none"/>
          <w:u w:val="none"/>
        </w:rPr>
        <w:t>十、中小企业声明函（</w:t>
      </w:r>
      <w:r>
        <w:rPr>
          <w:rFonts w:hint="eastAsia" w:ascii="黑体" w:hAnsi="黑体" w:eastAsia="黑体"/>
          <w:b/>
          <w:i w:val="0"/>
          <w:iCs w:val="0"/>
          <w:color w:val="auto"/>
          <w:sz w:val="32"/>
          <w:szCs w:val="32"/>
          <w:highlight w:val="none"/>
          <w:u w:val="none"/>
          <w:lang w:val="en-US" w:eastAsia="zh-CN"/>
        </w:rPr>
        <w:t>工程、服务</w:t>
      </w:r>
      <w:r>
        <w:rPr>
          <w:rFonts w:hint="eastAsia" w:ascii="黑体" w:hAnsi="黑体" w:eastAsia="黑体"/>
          <w:b/>
          <w:i w:val="0"/>
          <w:iCs w:val="0"/>
          <w:color w:val="auto"/>
          <w:sz w:val="32"/>
          <w:szCs w:val="32"/>
          <w:highlight w:val="none"/>
          <w:u w:val="none"/>
        </w:rPr>
        <w:t>）</w:t>
      </w:r>
    </w:p>
    <w:p w14:paraId="3A273D84">
      <w:pPr>
        <w:spacing w:line="420" w:lineRule="exact"/>
        <w:ind w:firstLine="420"/>
        <w:jc w:val="left"/>
        <w:rPr>
          <w:rFonts w:ascii="宋体" w:hAnsi="宋体" w:cs="宋体"/>
          <w:color w:val="auto"/>
          <w:highlight w:val="none"/>
        </w:rPr>
      </w:pPr>
      <w:r>
        <w:rPr>
          <w:rFonts w:hint="eastAsia" w:ascii="宋体" w:hAnsi="宋体" w:cs="宋体"/>
          <w:color w:val="auto"/>
          <w:highlight w:val="none"/>
        </w:rPr>
        <w:t>本公司（联合体）郑重声明，根据《政府采购促进中小企业发展管理办法》（财库﹝2020﹞46 号）的规定，本公司（联合体）参加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7224112">
      <w:pPr>
        <w:spacing w:line="420" w:lineRule="exact"/>
        <w:ind w:firstLine="420"/>
        <w:jc w:val="left"/>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  </w:t>
      </w:r>
      <w:r>
        <w:rPr>
          <w:rFonts w:hint="eastAsia" w:ascii="宋体" w:hAnsi="宋体" w:cs="宋体"/>
          <w:b/>
          <w:color w:val="auto"/>
          <w:highlight w:val="none"/>
          <w:u w:val="single"/>
          <w:lang w:val="en-US" w:eastAsia="zh-CN"/>
        </w:rPr>
        <w:t>租赁与商业服务业</w:t>
      </w:r>
      <w:r>
        <w:rPr>
          <w:rFonts w:hint="eastAsia" w:ascii="宋体" w:hAnsi="宋体" w:cs="宋体"/>
          <w:b/>
          <w:color w:val="auto"/>
          <w:highlight w:val="none"/>
          <w:u w:val="single"/>
        </w:rPr>
        <w:t xml:space="preserve">   </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w:t>
      </w:r>
      <w:r>
        <w:rPr>
          <w:color w:val="auto"/>
          <w:highlight w:val="none"/>
        </w:rPr>
        <w:fldChar w:fldCharType="begin"/>
      </w:r>
      <w:r>
        <w:rPr>
          <w:color w:val="auto"/>
          <w:highlight w:val="none"/>
        </w:rPr>
        <w:instrText xml:space="preserve"> HYPERLINK "file:///C:\\Users\\Microsoft\\Windows\\Microsoft\\Windows\\INetCache\\Down\\undefined.doc" \l "br1" </w:instrText>
      </w:r>
      <w:r>
        <w:rPr>
          <w:color w:val="auto"/>
          <w:highlight w:val="none"/>
        </w:rPr>
        <w:fldChar w:fldCharType="separate"/>
      </w:r>
      <w:r>
        <w:rPr>
          <w:rStyle w:val="42"/>
          <w:rFonts w:hint="eastAsia" w:ascii="宋体" w:hAnsi="宋体" w:cs="宋体"/>
          <w:color w:val="auto"/>
          <w:spacing w:val="-1"/>
          <w:highlight w:val="none"/>
          <w:vertAlign w:val="superscript"/>
        </w:rPr>
        <w:t>1</w:t>
      </w:r>
      <w:r>
        <w:rPr>
          <w:rStyle w:val="42"/>
          <w:rFonts w:hint="eastAsia" w:ascii="宋体" w:hAnsi="宋体" w:cs="宋体"/>
          <w:color w:val="auto"/>
          <w:spacing w:val="-1"/>
          <w:highlight w:val="none"/>
          <w:vertAlign w:val="superscript"/>
        </w:rPr>
        <w:fldChar w:fldCharType="end"/>
      </w:r>
      <w:r>
        <w:rPr>
          <w:rFonts w:hint="eastAsia" w:ascii="宋体" w:hAnsi="宋体" w:cs="宋体"/>
          <w:color w:val="auto"/>
          <w:highlight w:val="none"/>
        </w:rPr>
        <w:t>，属于</w:t>
      </w:r>
      <w:r>
        <w:rPr>
          <w:rFonts w:hint="eastAsia" w:ascii="宋体" w:hAnsi="宋体" w:cs="宋体"/>
          <w:color w:val="auto"/>
          <w:highlight w:val="none"/>
          <w:u w:val="single"/>
        </w:rPr>
        <w:t>（中型企业、小型企业、微型企业）；</w:t>
      </w:r>
    </w:p>
    <w:p w14:paraId="63CD16B2">
      <w:pPr>
        <w:spacing w:line="420" w:lineRule="exact"/>
        <w:ind w:firstLine="420"/>
        <w:jc w:val="left"/>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（标的名称）</w:t>
      </w:r>
      <w:r>
        <w:rPr>
          <w:rFonts w:hint="eastAsia" w:ascii="宋体" w:hAnsi="宋体" w:cs="宋体"/>
          <w:color w:val="auto"/>
          <w:highlight w:val="none"/>
        </w:rPr>
        <w:t xml:space="preserve"> ，属于 </w:t>
      </w:r>
      <w:r>
        <w:rPr>
          <w:rFonts w:hint="eastAsia" w:ascii="宋体" w:hAnsi="宋体" w:cs="宋体"/>
          <w:b/>
          <w:color w:val="auto"/>
          <w:highlight w:val="none"/>
          <w:u w:val="single"/>
          <w:lang w:val="en-US" w:eastAsia="zh-CN"/>
        </w:rPr>
        <w:t xml:space="preserve">                </w:t>
      </w:r>
      <w:r>
        <w:rPr>
          <w:rFonts w:hint="eastAsia" w:ascii="宋体" w:hAnsi="宋体" w:cs="宋体"/>
          <w:b/>
          <w:color w:val="auto"/>
          <w:highlight w:val="none"/>
          <w:u w:val="single"/>
        </w:rPr>
        <w:t xml:space="preserve">  </w:t>
      </w:r>
      <w:r>
        <w:rPr>
          <w:rFonts w:hint="eastAsia" w:ascii="宋体" w:hAnsi="宋体" w:cs="宋体"/>
          <w:color w:val="auto"/>
          <w:highlight w:val="none"/>
        </w:rPr>
        <w:t>；承建（承接）企业为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（中型企业、小型企业、微型企业）；</w:t>
      </w:r>
    </w:p>
    <w:p w14:paraId="054ED25F">
      <w:pPr>
        <w:spacing w:line="420" w:lineRule="exact"/>
        <w:ind w:firstLine="420"/>
        <w:jc w:val="left"/>
        <w:rPr>
          <w:rFonts w:ascii="宋体" w:hAnsi="宋体" w:cs="宋体"/>
          <w:color w:val="auto"/>
          <w:highlight w:val="none"/>
        </w:rPr>
      </w:pPr>
      <w:r>
        <w:rPr>
          <w:rFonts w:hint="eastAsia" w:ascii="宋体" w:hAnsi="宋体" w:cs="宋体"/>
          <w:color w:val="auto"/>
          <w:highlight w:val="none"/>
        </w:rPr>
        <w:t>……</w:t>
      </w:r>
    </w:p>
    <w:p w14:paraId="0BA72AEE">
      <w:pPr>
        <w:spacing w:line="420" w:lineRule="exact"/>
        <w:ind w:firstLine="420"/>
        <w:jc w:val="left"/>
        <w:rPr>
          <w:rFonts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297D9083">
      <w:pPr>
        <w:spacing w:line="420" w:lineRule="exact"/>
        <w:ind w:firstLine="420"/>
        <w:jc w:val="left"/>
        <w:rPr>
          <w:rFonts w:ascii="宋体" w:hAnsi="宋体" w:cs="宋体"/>
          <w:color w:val="auto"/>
          <w:highlight w:val="none"/>
        </w:rPr>
      </w:pPr>
      <w:r>
        <w:rPr>
          <w:rFonts w:hint="eastAsia" w:ascii="宋体" w:hAnsi="宋体" w:cs="宋体"/>
          <w:color w:val="auto"/>
          <w:highlight w:val="none"/>
        </w:rPr>
        <w:t>本企业对上述声明内容的真实性负责。如有虚假，将依法承担相应责任。</w:t>
      </w:r>
    </w:p>
    <w:p w14:paraId="518C2787">
      <w:pPr>
        <w:spacing w:line="420" w:lineRule="exact"/>
        <w:jc w:val="left"/>
        <w:rPr>
          <w:rFonts w:ascii="宋体" w:hAnsi="宋体" w:cs="宋体"/>
          <w:color w:val="auto"/>
          <w:highlight w:val="none"/>
        </w:rPr>
      </w:pPr>
      <w:r>
        <w:rPr>
          <w:rFonts w:hint="eastAsia" w:ascii="宋体" w:hAnsi="宋体" w:cs="宋体"/>
          <w:color w:val="auto"/>
          <w:highlight w:val="none"/>
        </w:rPr>
        <w:t>注：1、从业人员（不仅指在职职工）、营业收入、资产总额填报上一年度数据，无上一年度数据的新成立企业可不填报。</w:t>
      </w:r>
    </w:p>
    <w:p w14:paraId="71BB4C16">
      <w:pPr>
        <w:spacing w:line="420" w:lineRule="exact"/>
        <w:ind w:firstLine="420"/>
        <w:rPr>
          <w:rFonts w:ascii="宋体" w:hAnsi="宋体" w:cs="宋体"/>
          <w:color w:val="auto"/>
          <w:highlight w:val="none"/>
        </w:rPr>
      </w:pPr>
      <w:r>
        <w:rPr>
          <w:rFonts w:hint="eastAsia" w:ascii="宋体" w:hAnsi="宋体" w:cs="宋体"/>
          <w:color w:val="auto"/>
          <w:highlight w:val="none"/>
        </w:rPr>
        <w:t>2、供应商如不提供此声明函，价格将不做相应扣除。</w:t>
      </w:r>
    </w:p>
    <w:p w14:paraId="7480FC34">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p>
    <w:p w14:paraId="6E54F363">
      <w:pPr>
        <w:spacing w:line="420" w:lineRule="exact"/>
        <w:ind w:firstLine="420"/>
        <w:jc w:val="left"/>
        <w:rPr>
          <w:rFonts w:ascii="宋体" w:hAnsi="宋体" w:cs="宋体"/>
          <w:color w:val="auto"/>
          <w:highlight w:val="none"/>
        </w:rPr>
      </w:pPr>
      <w:r>
        <w:rPr>
          <w:rFonts w:hint="eastAsia" w:ascii="宋体" w:hAnsi="宋体" w:cs="宋体"/>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4AD41557">
      <w:pPr>
        <w:spacing w:line="420" w:lineRule="exact"/>
        <w:ind w:firstLine="420"/>
        <w:jc w:val="left"/>
        <w:rPr>
          <w:rFonts w:ascii="宋体" w:hAnsi="宋体" w:cs="宋体"/>
          <w:color w:val="auto"/>
          <w:highlight w:val="none"/>
        </w:rPr>
      </w:pPr>
      <w:r>
        <w:rPr>
          <w:rFonts w:hint="eastAsia" w:ascii="宋体" w:hAnsi="宋体" w:cs="宋体"/>
          <w:color w:val="auto"/>
          <w:highlight w:val="none"/>
        </w:rPr>
        <w:t>5、声明函应涵盖本项目（分包）所有货物，否则价格不作扣除。</w:t>
      </w:r>
    </w:p>
    <w:p w14:paraId="4325E582">
      <w:pPr>
        <w:spacing w:line="420" w:lineRule="exact"/>
        <w:ind w:firstLine="420"/>
        <w:jc w:val="left"/>
        <w:rPr>
          <w:rFonts w:ascii="宋体" w:hAnsi="宋体" w:cs="宋体"/>
          <w:color w:val="auto"/>
          <w:szCs w:val="21"/>
          <w:highlight w:val="none"/>
        </w:rPr>
      </w:pPr>
      <w:r>
        <w:rPr>
          <w:rFonts w:hint="eastAsia" w:ascii="宋体" w:hAnsi="宋体" w:cs="宋体"/>
          <w:color w:val="auto"/>
          <w:highlight w:val="none"/>
        </w:rPr>
        <w:t>6、</w:t>
      </w:r>
      <w:r>
        <w:rPr>
          <w:rFonts w:hint="eastAsia" w:ascii="宋体" w:hAnsi="宋体" w:cs="宋体"/>
          <w:color w:val="auto"/>
          <w:szCs w:val="21"/>
          <w:highlight w:val="none"/>
        </w:rPr>
        <w:t>中小企业不得属于大企业的分支机构，不得存在控股股东为大企业的情形，不得存在与大企业的负责人为同一人的情形。</w:t>
      </w:r>
    </w:p>
    <w:p w14:paraId="4E01E12F">
      <w:pPr>
        <w:spacing w:line="420" w:lineRule="exact"/>
        <w:ind w:firstLine="420"/>
        <w:jc w:val="left"/>
        <w:rPr>
          <w:rFonts w:ascii="宋体" w:hAnsi="宋体" w:cs="宋体"/>
          <w:color w:val="auto"/>
          <w:szCs w:val="21"/>
          <w:highlight w:val="none"/>
        </w:rPr>
      </w:pPr>
      <w:r>
        <w:rPr>
          <w:rFonts w:hint="eastAsia" w:ascii="宋体" w:hAnsi="宋体" w:cs="宋体"/>
          <w:color w:val="auto"/>
          <w:szCs w:val="21"/>
          <w:highlight w:val="none"/>
        </w:rPr>
        <w:t>7、</w:t>
      </w:r>
      <w:r>
        <w:rPr>
          <w:rFonts w:hint="eastAsia" w:ascii="宋体" w:hAnsi="宋体" w:cs="宋体"/>
          <w:bCs/>
          <w:color w:val="auto"/>
          <w:szCs w:val="21"/>
          <w:highlight w:val="none"/>
          <w:shd w:val="clear" w:color="auto" w:fill="FFFFFF"/>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5E78FAA">
      <w:pPr>
        <w:spacing w:line="560" w:lineRule="exact"/>
        <w:ind w:right="180" w:firstLine="360"/>
        <w:jc w:val="right"/>
        <w:rPr>
          <w:rFonts w:ascii="宋体" w:hAnsi="宋体"/>
          <w:color w:val="auto"/>
          <w:sz w:val="24"/>
          <w:szCs w:val="24"/>
          <w:highlight w:val="none"/>
        </w:rPr>
      </w:pPr>
      <w:r>
        <w:rPr>
          <w:rFonts w:hint="eastAsia" w:ascii="宋体" w:hAnsi="宋体"/>
          <w:color w:val="auto"/>
          <w:sz w:val="24"/>
          <w:szCs w:val="24"/>
          <w:highlight w:val="none"/>
        </w:rPr>
        <w:t>企业名称（加盖CA电子公章）：</w:t>
      </w:r>
    </w:p>
    <w:p w14:paraId="09A457EC">
      <w:pPr>
        <w:spacing w:line="560" w:lineRule="exact"/>
        <w:ind w:right="480" w:firstLine="5400"/>
        <w:rPr>
          <w:rFonts w:ascii="宋体" w:hAnsi="宋体"/>
          <w:color w:val="auto"/>
          <w:sz w:val="24"/>
          <w:szCs w:val="24"/>
          <w:highlight w:val="none"/>
        </w:rPr>
      </w:pPr>
      <w:r>
        <w:rPr>
          <w:rFonts w:hint="eastAsia" w:ascii="宋体" w:hAnsi="宋体"/>
          <w:color w:val="auto"/>
          <w:sz w:val="24"/>
          <w:szCs w:val="24"/>
          <w:highlight w:val="none"/>
        </w:rPr>
        <w:t>日  期：</w:t>
      </w:r>
    </w:p>
    <w:p w14:paraId="18AA604B">
      <w:pPr>
        <w:spacing w:line="400" w:lineRule="exact"/>
        <w:rPr>
          <w:rFonts w:hint="eastAsia" w:ascii="宋体" w:hAnsi="宋体"/>
          <w:color w:val="auto"/>
          <w:sz w:val="24"/>
          <w:szCs w:val="24"/>
          <w:highlight w:val="none"/>
        </w:rPr>
      </w:pPr>
    </w:p>
    <w:p w14:paraId="6967FFF1">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备注：</w:t>
      </w:r>
    </w:p>
    <w:p w14:paraId="62ADFC7F">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3AAC41F7">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供应商如不提供此声明函，则</w:t>
      </w:r>
      <w:r>
        <w:rPr>
          <w:rFonts w:ascii="宋体" w:hAnsi="宋体"/>
          <w:color w:val="auto"/>
          <w:sz w:val="24"/>
          <w:szCs w:val="24"/>
          <w:highlight w:val="none"/>
        </w:rPr>
        <w:t>不能通过资格审查；</w:t>
      </w:r>
      <w:r>
        <w:rPr>
          <w:rFonts w:hint="eastAsia" w:ascii="宋体" w:hAnsi="宋体"/>
          <w:color w:val="auto"/>
          <w:sz w:val="24"/>
          <w:szCs w:val="24"/>
          <w:highlight w:val="none"/>
        </w:rPr>
        <w:t>非专门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供应商如不提供此声明函，价格将不做相应扣除。</w:t>
      </w:r>
    </w:p>
    <w:p w14:paraId="43CF5335">
      <w:pPr>
        <w:spacing w:line="560" w:lineRule="exact"/>
        <w:ind w:right="720" w:firstLine="480"/>
        <w:rPr>
          <w:rFonts w:ascii="宋体" w:hAnsi="宋体"/>
          <w:color w:val="auto"/>
          <w:sz w:val="24"/>
          <w:szCs w:val="24"/>
          <w:highlight w:val="none"/>
        </w:rPr>
      </w:pPr>
      <w:r>
        <w:rPr>
          <w:rFonts w:hint="eastAsia" w:ascii="宋体" w:hAnsi="宋体"/>
          <w:color w:val="auto"/>
          <w:sz w:val="24"/>
          <w:szCs w:val="24"/>
          <w:highlight w:val="none"/>
        </w:rPr>
        <w:t>3.供应商</w:t>
      </w:r>
      <w:r>
        <w:rPr>
          <w:rFonts w:ascii="宋体" w:hAnsi="宋体"/>
          <w:color w:val="auto"/>
          <w:sz w:val="24"/>
          <w:szCs w:val="24"/>
          <w:highlight w:val="none"/>
        </w:rPr>
        <w:t>自行勾选</w:t>
      </w:r>
      <w:r>
        <w:rPr>
          <w:rFonts w:hint="eastAsia" w:ascii="宋体" w:hAnsi="宋体"/>
          <w:color w:val="auto"/>
          <w:sz w:val="24"/>
          <w:szCs w:val="24"/>
          <w:highlight w:val="none"/>
        </w:rPr>
        <w:t>制造商</w:t>
      </w:r>
      <w:r>
        <w:rPr>
          <w:rFonts w:ascii="宋体" w:hAnsi="宋体"/>
          <w:color w:val="auto"/>
          <w:sz w:val="24"/>
          <w:szCs w:val="24"/>
          <w:highlight w:val="none"/>
        </w:rPr>
        <w:t>的企业</w:t>
      </w:r>
      <w:r>
        <w:rPr>
          <w:rFonts w:hint="eastAsia" w:ascii="宋体" w:hAnsi="宋体"/>
          <w:color w:val="auto"/>
          <w:sz w:val="24"/>
          <w:szCs w:val="24"/>
          <w:highlight w:val="none"/>
        </w:rPr>
        <w:t>规模类型</w:t>
      </w:r>
      <w:r>
        <w:rPr>
          <w:rFonts w:ascii="宋体" w:hAnsi="宋体"/>
          <w:color w:val="auto"/>
          <w:sz w:val="24"/>
          <w:szCs w:val="24"/>
          <w:highlight w:val="none"/>
        </w:rPr>
        <w:t>。</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697E2F18">
      <w:pPr>
        <w:spacing w:line="560" w:lineRule="exact"/>
        <w:rPr>
          <w:rFonts w:ascii="宋体" w:hAnsi="宋体"/>
          <w:color w:val="auto"/>
          <w:sz w:val="24"/>
          <w:szCs w:val="24"/>
          <w:highlight w:val="none"/>
        </w:rPr>
      </w:pPr>
    </w:p>
    <w:p w14:paraId="654873B7">
      <w:pPr>
        <w:keepNext/>
        <w:keepLines/>
        <w:widowControl/>
        <w:spacing w:before="300" w:after="300" w:line="360" w:lineRule="auto"/>
        <w:jc w:val="center"/>
        <w:outlineLvl w:val="1"/>
        <w:rPr>
          <w:rFonts w:ascii="Arial" w:hAnsi="Arial" w:eastAsia="幼圆" w:cs="Arial"/>
          <w:b/>
          <w:bCs/>
          <w:color w:val="auto"/>
          <w:highlight w:val="none"/>
        </w:rPr>
      </w:pPr>
      <w:bookmarkStart w:id="73" w:name="_Toc150519795"/>
      <w:r>
        <w:rPr>
          <w:rFonts w:hint="eastAsia" w:ascii="Arial" w:hAnsi="Arial" w:eastAsia="幼圆" w:cs="微软雅黑"/>
          <w:b/>
          <w:bCs/>
          <w:color w:val="auto"/>
          <w:highlight w:val="none"/>
        </w:rPr>
        <w:t>中小微企业划型标准</w:t>
      </w:r>
      <w:bookmarkEnd w:id="73"/>
      <w:r>
        <w:rPr>
          <w:rFonts w:hint="eastAsia" w:ascii="Arial" w:hAnsi="Arial" w:eastAsia="幼圆" w:cs="微软雅黑"/>
          <w:b/>
          <w:bCs/>
          <w:color w:val="auto"/>
          <w:highlight w:val="none"/>
        </w:rPr>
        <w:t> </w:t>
      </w:r>
    </w:p>
    <w:p w14:paraId="14252E87">
      <w:pPr>
        <w:widowControl/>
        <w:spacing w:before="300" w:after="452" w:line="360" w:lineRule="auto"/>
        <w:jc w:val="left"/>
        <w:rPr>
          <w:rFonts w:ascii="宋体" w:hAnsi="宋体"/>
          <w:color w:val="auto"/>
          <w:highlight w:val="none"/>
        </w:rPr>
      </w:pPr>
      <w:r>
        <w:rPr>
          <w:rFonts w:hint="eastAsia" w:ascii="宋体" w:hAnsi="宋体" w:eastAsia="等线" w:cs="仿宋"/>
          <w:b/>
          <w:color w:val="auto"/>
          <w:highlight w:val="none"/>
        </w:rPr>
        <w:t>中小微企业划型标准如下：</w:t>
      </w:r>
    </w:p>
    <w:tbl>
      <w:tblPr>
        <w:tblStyle w:val="38"/>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7F5FF2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tcMar>
              <w:top w:w="0" w:type="dxa"/>
              <w:left w:w="105" w:type="dxa"/>
              <w:bottom w:w="0" w:type="dxa"/>
              <w:right w:w="105" w:type="dxa"/>
            </w:tcMar>
            <w:vAlign w:val="center"/>
          </w:tcPr>
          <w:p w14:paraId="7C57A1A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行业名称</w:t>
            </w:r>
          </w:p>
        </w:tc>
        <w:tc>
          <w:tcPr>
            <w:tcW w:w="1718" w:type="dxa"/>
            <w:tcMar>
              <w:top w:w="0" w:type="dxa"/>
              <w:left w:w="105" w:type="dxa"/>
              <w:bottom w:w="0" w:type="dxa"/>
              <w:right w:w="105" w:type="dxa"/>
            </w:tcMar>
            <w:vAlign w:val="center"/>
          </w:tcPr>
          <w:p w14:paraId="043BBAB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指标名称</w:t>
            </w:r>
          </w:p>
        </w:tc>
        <w:tc>
          <w:tcPr>
            <w:tcW w:w="702" w:type="dxa"/>
            <w:tcMar>
              <w:top w:w="0" w:type="dxa"/>
              <w:left w:w="105" w:type="dxa"/>
              <w:bottom w:w="0" w:type="dxa"/>
              <w:right w:w="105" w:type="dxa"/>
            </w:tcMar>
            <w:vAlign w:val="center"/>
          </w:tcPr>
          <w:p w14:paraId="3B92881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计量单位</w:t>
            </w:r>
          </w:p>
        </w:tc>
        <w:tc>
          <w:tcPr>
            <w:tcW w:w="1892" w:type="dxa"/>
            <w:tcMar>
              <w:top w:w="0" w:type="dxa"/>
              <w:left w:w="105" w:type="dxa"/>
              <w:bottom w:w="0" w:type="dxa"/>
              <w:right w:w="105" w:type="dxa"/>
            </w:tcMar>
            <w:vAlign w:val="center"/>
          </w:tcPr>
          <w:p w14:paraId="60FE57A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中型</w:t>
            </w:r>
          </w:p>
        </w:tc>
        <w:tc>
          <w:tcPr>
            <w:tcW w:w="1709" w:type="dxa"/>
            <w:tcMar>
              <w:top w:w="0" w:type="dxa"/>
              <w:left w:w="105" w:type="dxa"/>
              <w:bottom w:w="0" w:type="dxa"/>
              <w:right w:w="105" w:type="dxa"/>
            </w:tcMar>
            <w:vAlign w:val="center"/>
          </w:tcPr>
          <w:p w14:paraId="39ACFBA6">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小型</w:t>
            </w:r>
          </w:p>
        </w:tc>
        <w:tc>
          <w:tcPr>
            <w:tcW w:w="1500" w:type="dxa"/>
            <w:tcMar>
              <w:top w:w="0" w:type="dxa"/>
              <w:left w:w="105" w:type="dxa"/>
              <w:bottom w:w="0" w:type="dxa"/>
              <w:right w:w="105" w:type="dxa"/>
            </w:tcMar>
            <w:vAlign w:val="center"/>
          </w:tcPr>
          <w:p w14:paraId="73F904C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微型</w:t>
            </w:r>
          </w:p>
        </w:tc>
      </w:tr>
      <w:tr w14:paraId="2C7284A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tcMar>
              <w:top w:w="0" w:type="dxa"/>
              <w:left w:w="105" w:type="dxa"/>
              <w:bottom w:w="0" w:type="dxa"/>
              <w:right w:w="105" w:type="dxa"/>
            </w:tcMar>
            <w:vAlign w:val="center"/>
          </w:tcPr>
          <w:p w14:paraId="4C0AFAA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农、林、牧、渔</w:t>
            </w:r>
          </w:p>
        </w:tc>
        <w:tc>
          <w:tcPr>
            <w:tcW w:w="1718" w:type="dxa"/>
            <w:tcMar>
              <w:top w:w="0" w:type="dxa"/>
              <w:left w:w="105" w:type="dxa"/>
              <w:bottom w:w="0" w:type="dxa"/>
              <w:right w:w="105" w:type="dxa"/>
            </w:tcMar>
            <w:vAlign w:val="center"/>
          </w:tcPr>
          <w:p w14:paraId="3130A4C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6A2D15C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78C4EAB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500≤Y＜20000</w:t>
            </w:r>
          </w:p>
        </w:tc>
        <w:tc>
          <w:tcPr>
            <w:tcW w:w="1709" w:type="dxa"/>
            <w:tcMar>
              <w:top w:w="0" w:type="dxa"/>
              <w:left w:w="105" w:type="dxa"/>
              <w:bottom w:w="0" w:type="dxa"/>
              <w:right w:w="105" w:type="dxa"/>
            </w:tcMar>
            <w:vAlign w:val="center"/>
          </w:tcPr>
          <w:p w14:paraId="04AFC97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50≤Y＜500</w:t>
            </w:r>
          </w:p>
        </w:tc>
        <w:tc>
          <w:tcPr>
            <w:tcW w:w="1500" w:type="dxa"/>
            <w:tcMar>
              <w:top w:w="0" w:type="dxa"/>
              <w:left w:w="105" w:type="dxa"/>
              <w:bottom w:w="0" w:type="dxa"/>
              <w:right w:w="105" w:type="dxa"/>
            </w:tcMar>
            <w:vAlign w:val="center"/>
          </w:tcPr>
          <w:p w14:paraId="33CFD8A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w:t>
            </w:r>
          </w:p>
        </w:tc>
      </w:tr>
      <w:tr w14:paraId="3EAD920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274C375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工业</w:t>
            </w:r>
          </w:p>
        </w:tc>
        <w:tc>
          <w:tcPr>
            <w:tcW w:w="1718" w:type="dxa"/>
            <w:tcMar>
              <w:top w:w="0" w:type="dxa"/>
              <w:left w:w="105" w:type="dxa"/>
              <w:bottom w:w="0" w:type="dxa"/>
              <w:right w:w="105" w:type="dxa"/>
            </w:tcMar>
            <w:vAlign w:val="center"/>
          </w:tcPr>
          <w:p w14:paraId="64F3E3D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4FFFD26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5EE284C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tcMar>
              <w:top w:w="0" w:type="dxa"/>
              <w:left w:w="105" w:type="dxa"/>
              <w:bottom w:w="0" w:type="dxa"/>
              <w:right w:w="105" w:type="dxa"/>
            </w:tcMar>
            <w:vAlign w:val="center"/>
          </w:tcPr>
          <w:p w14:paraId="51CD7E2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tcMar>
              <w:top w:w="0" w:type="dxa"/>
              <w:left w:w="105" w:type="dxa"/>
              <w:bottom w:w="0" w:type="dxa"/>
              <w:right w:w="105" w:type="dxa"/>
            </w:tcMar>
            <w:vAlign w:val="center"/>
          </w:tcPr>
          <w:p w14:paraId="7AFE9DE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512BF1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619B0953">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3F8C340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486116C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2843C30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2000≤Y＜40000</w:t>
            </w:r>
          </w:p>
        </w:tc>
        <w:tc>
          <w:tcPr>
            <w:tcW w:w="1709" w:type="dxa"/>
            <w:tcMar>
              <w:top w:w="0" w:type="dxa"/>
              <w:left w:w="105" w:type="dxa"/>
              <w:bottom w:w="0" w:type="dxa"/>
              <w:right w:w="105" w:type="dxa"/>
            </w:tcMar>
            <w:vAlign w:val="center"/>
          </w:tcPr>
          <w:p w14:paraId="08F37CF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300≤Y＜2000</w:t>
            </w:r>
          </w:p>
        </w:tc>
        <w:tc>
          <w:tcPr>
            <w:tcW w:w="1500" w:type="dxa"/>
            <w:tcMar>
              <w:top w:w="0" w:type="dxa"/>
              <w:left w:w="105" w:type="dxa"/>
              <w:bottom w:w="0" w:type="dxa"/>
              <w:right w:w="105" w:type="dxa"/>
            </w:tcMar>
            <w:vAlign w:val="center"/>
          </w:tcPr>
          <w:p w14:paraId="73380FC5">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Y＜300</w:t>
            </w:r>
          </w:p>
        </w:tc>
      </w:tr>
      <w:tr w14:paraId="3473687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5CF4A8B0">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建筑业</w:t>
            </w:r>
          </w:p>
        </w:tc>
        <w:tc>
          <w:tcPr>
            <w:tcW w:w="1718" w:type="dxa"/>
            <w:tcMar>
              <w:top w:w="0" w:type="dxa"/>
              <w:left w:w="105" w:type="dxa"/>
              <w:bottom w:w="0" w:type="dxa"/>
              <w:right w:w="105" w:type="dxa"/>
            </w:tcMar>
            <w:vAlign w:val="center"/>
          </w:tcPr>
          <w:p w14:paraId="59D7DC7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1E3A0BA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357D91B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6000≤Y＜80000</w:t>
            </w:r>
          </w:p>
        </w:tc>
        <w:tc>
          <w:tcPr>
            <w:tcW w:w="1709" w:type="dxa"/>
            <w:tcMar>
              <w:top w:w="0" w:type="dxa"/>
              <w:left w:w="105" w:type="dxa"/>
              <w:bottom w:w="0" w:type="dxa"/>
              <w:right w:w="105" w:type="dxa"/>
            </w:tcMar>
            <w:vAlign w:val="center"/>
          </w:tcPr>
          <w:p w14:paraId="1AA9726C">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300≤Y＜6000</w:t>
            </w:r>
          </w:p>
        </w:tc>
        <w:tc>
          <w:tcPr>
            <w:tcW w:w="1500" w:type="dxa"/>
            <w:tcMar>
              <w:top w:w="0" w:type="dxa"/>
              <w:left w:w="105" w:type="dxa"/>
              <w:bottom w:w="0" w:type="dxa"/>
              <w:right w:w="105" w:type="dxa"/>
            </w:tcMar>
            <w:vAlign w:val="center"/>
          </w:tcPr>
          <w:p w14:paraId="1D329CDB">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Y＜300</w:t>
            </w:r>
          </w:p>
        </w:tc>
      </w:tr>
      <w:tr w14:paraId="7F15222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248CF65B">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1C2E1BE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tcMar>
              <w:top w:w="0" w:type="dxa"/>
              <w:left w:w="105" w:type="dxa"/>
              <w:bottom w:w="0" w:type="dxa"/>
              <w:right w:w="105" w:type="dxa"/>
            </w:tcMar>
            <w:vAlign w:val="center"/>
          </w:tcPr>
          <w:p w14:paraId="20082A0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2486C6D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5000≤Z＜80000</w:t>
            </w:r>
          </w:p>
        </w:tc>
        <w:tc>
          <w:tcPr>
            <w:tcW w:w="1709" w:type="dxa"/>
            <w:tcMar>
              <w:top w:w="0" w:type="dxa"/>
              <w:left w:w="105" w:type="dxa"/>
              <w:bottom w:w="0" w:type="dxa"/>
              <w:right w:w="105" w:type="dxa"/>
            </w:tcMar>
            <w:vAlign w:val="center"/>
          </w:tcPr>
          <w:p w14:paraId="2AD562EC">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300≤Z＜5000</w:t>
            </w:r>
          </w:p>
        </w:tc>
        <w:tc>
          <w:tcPr>
            <w:tcW w:w="1500" w:type="dxa"/>
            <w:tcMar>
              <w:top w:w="0" w:type="dxa"/>
              <w:left w:w="105" w:type="dxa"/>
              <w:bottom w:w="0" w:type="dxa"/>
              <w:right w:w="105" w:type="dxa"/>
            </w:tcMar>
            <w:vAlign w:val="center"/>
          </w:tcPr>
          <w:p w14:paraId="5962C95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Z＜300</w:t>
            </w:r>
          </w:p>
        </w:tc>
      </w:tr>
      <w:tr w14:paraId="254D99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0E4A3ACE">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批发业</w:t>
            </w:r>
          </w:p>
        </w:tc>
        <w:tc>
          <w:tcPr>
            <w:tcW w:w="1718" w:type="dxa"/>
            <w:tcMar>
              <w:top w:w="0" w:type="dxa"/>
              <w:left w:w="105" w:type="dxa"/>
              <w:bottom w:w="0" w:type="dxa"/>
              <w:right w:w="105" w:type="dxa"/>
            </w:tcMar>
            <w:vAlign w:val="center"/>
          </w:tcPr>
          <w:p w14:paraId="2C8D932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052235A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38AEBCB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20≤X＜200</w:t>
            </w:r>
          </w:p>
        </w:tc>
        <w:tc>
          <w:tcPr>
            <w:tcW w:w="1709" w:type="dxa"/>
            <w:tcMar>
              <w:top w:w="0" w:type="dxa"/>
              <w:left w:w="105" w:type="dxa"/>
              <w:bottom w:w="0" w:type="dxa"/>
              <w:right w:w="105" w:type="dxa"/>
            </w:tcMar>
            <w:vAlign w:val="center"/>
          </w:tcPr>
          <w:p w14:paraId="6A72417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5≤X＜20</w:t>
            </w:r>
          </w:p>
        </w:tc>
        <w:tc>
          <w:tcPr>
            <w:tcW w:w="1500" w:type="dxa"/>
            <w:tcMar>
              <w:top w:w="0" w:type="dxa"/>
              <w:left w:w="105" w:type="dxa"/>
              <w:bottom w:w="0" w:type="dxa"/>
              <w:right w:w="105" w:type="dxa"/>
            </w:tcMar>
            <w:vAlign w:val="center"/>
          </w:tcPr>
          <w:p w14:paraId="16D20C1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X＜5</w:t>
            </w:r>
          </w:p>
        </w:tc>
      </w:tr>
      <w:tr w14:paraId="3E17EF0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57A98DCE">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54CF5CA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4CBD939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4568932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5000≤Y＜40000</w:t>
            </w:r>
          </w:p>
        </w:tc>
        <w:tc>
          <w:tcPr>
            <w:tcW w:w="1709" w:type="dxa"/>
            <w:tcMar>
              <w:top w:w="0" w:type="dxa"/>
              <w:left w:w="105" w:type="dxa"/>
              <w:bottom w:w="0" w:type="dxa"/>
              <w:right w:w="105" w:type="dxa"/>
            </w:tcMar>
            <w:vAlign w:val="center"/>
          </w:tcPr>
          <w:p w14:paraId="76A429BD">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1000≤Y＜5000</w:t>
            </w:r>
          </w:p>
        </w:tc>
        <w:tc>
          <w:tcPr>
            <w:tcW w:w="1500" w:type="dxa"/>
            <w:tcMar>
              <w:top w:w="0" w:type="dxa"/>
              <w:left w:w="105" w:type="dxa"/>
              <w:bottom w:w="0" w:type="dxa"/>
              <w:right w:w="105" w:type="dxa"/>
            </w:tcMar>
            <w:vAlign w:val="center"/>
          </w:tcPr>
          <w:p w14:paraId="11B19B2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Y＜1000</w:t>
            </w:r>
          </w:p>
        </w:tc>
      </w:tr>
      <w:tr w14:paraId="444D74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073240BE">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零售业</w:t>
            </w:r>
          </w:p>
        </w:tc>
        <w:tc>
          <w:tcPr>
            <w:tcW w:w="1718" w:type="dxa"/>
            <w:tcMar>
              <w:top w:w="0" w:type="dxa"/>
              <w:left w:w="105" w:type="dxa"/>
              <w:bottom w:w="0" w:type="dxa"/>
              <w:right w:w="105" w:type="dxa"/>
            </w:tcMar>
            <w:vAlign w:val="center"/>
          </w:tcPr>
          <w:p w14:paraId="24BD8CD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1B90F83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2EEE7BA5">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50≤X＜300</w:t>
            </w:r>
          </w:p>
        </w:tc>
        <w:tc>
          <w:tcPr>
            <w:tcW w:w="1709" w:type="dxa"/>
            <w:tcMar>
              <w:top w:w="0" w:type="dxa"/>
              <w:left w:w="105" w:type="dxa"/>
              <w:bottom w:w="0" w:type="dxa"/>
              <w:right w:w="105" w:type="dxa"/>
            </w:tcMar>
            <w:vAlign w:val="center"/>
          </w:tcPr>
          <w:p w14:paraId="73971A2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10≤X＜50</w:t>
            </w:r>
          </w:p>
        </w:tc>
        <w:tc>
          <w:tcPr>
            <w:tcW w:w="1500" w:type="dxa"/>
            <w:tcMar>
              <w:top w:w="0" w:type="dxa"/>
              <w:left w:w="105" w:type="dxa"/>
              <w:bottom w:w="0" w:type="dxa"/>
              <w:right w:w="105" w:type="dxa"/>
            </w:tcMar>
            <w:vAlign w:val="center"/>
          </w:tcPr>
          <w:p w14:paraId="3136DB9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453CFCB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14196004">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1A38834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2514440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3794B6D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500≤Y＜20000</w:t>
            </w:r>
          </w:p>
        </w:tc>
        <w:tc>
          <w:tcPr>
            <w:tcW w:w="1709" w:type="dxa"/>
            <w:tcMar>
              <w:top w:w="0" w:type="dxa"/>
              <w:left w:w="105" w:type="dxa"/>
              <w:bottom w:w="0" w:type="dxa"/>
              <w:right w:w="105" w:type="dxa"/>
            </w:tcMar>
            <w:vAlign w:val="center"/>
          </w:tcPr>
          <w:p w14:paraId="26DB8524">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100≤Y＜500</w:t>
            </w:r>
          </w:p>
        </w:tc>
        <w:tc>
          <w:tcPr>
            <w:tcW w:w="1500" w:type="dxa"/>
            <w:tcMar>
              <w:top w:w="0" w:type="dxa"/>
              <w:left w:w="105" w:type="dxa"/>
              <w:bottom w:w="0" w:type="dxa"/>
              <w:right w:w="105" w:type="dxa"/>
            </w:tcMar>
            <w:vAlign w:val="center"/>
          </w:tcPr>
          <w:p w14:paraId="62CCA54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075D144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5B922B1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交通运输业</w:t>
            </w:r>
          </w:p>
        </w:tc>
        <w:tc>
          <w:tcPr>
            <w:tcW w:w="1718" w:type="dxa"/>
            <w:tcMar>
              <w:top w:w="0" w:type="dxa"/>
              <w:left w:w="105" w:type="dxa"/>
              <w:bottom w:w="0" w:type="dxa"/>
              <w:right w:w="105" w:type="dxa"/>
            </w:tcMar>
            <w:vAlign w:val="center"/>
          </w:tcPr>
          <w:p w14:paraId="3967C91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6EF0747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1C3B224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tcMar>
              <w:top w:w="0" w:type="dxa"/>
              <w:left w:w="105" w:type="dxa"/>
              <w:bottom w:w="0" w:type="dxa"/>
              <w:right w:w="105" w:type="dxa"/>
            </w:tcMar>
            <w:vAlign w:val="center"/>
          </w:tcPr>
          <w:p w14:paraId="2E4E7C4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tcMar>
              <w:top w:w="0" w:type="dxa"/>
              <w:left w:w="105" w:type="dxa"/>
              <w:bottom w:w="0" w:type="dxa"/>
              <w:right w:w="105" w:type="dxa"/>
            </w:tcMar>
            <w:vAlign w:val="center"/>
          </w:tcPr>
          <w:p w14:paraId="2A1F880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34DB79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0F29D7FD">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67A75D3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749D587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5A46DD1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3000≤Y＜30000</w:t>
            </w:r>
          </w:p>
        </w:tc>
        <w:tc>
          <w:tcPr>
            <w:tcW w:w="1709" w:type="dxa"/>
            <w:tcMar>
              <w:top w:w="0" w:type="dxa"/>
              <w:left w:w="105" w:type="dxa"/>
              <w:bottom w:w="0" w:type="dxa"/>
              <w:right w:w="105" w:type="dxa"/>
            </w:tcMar>
            <w:vAlign w:val="center"/>
          </w:tcPr>
          <w:p w14:paraId="4954CFD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200≤Y＜3000</w:t>
            </w:r>
          </w:p>
        </w:tc>
        <w:tc>
          <w:tcPr>
            <w:tcW w:w="1500" w:type="dxa"/>
            <w:tcMar>
              <w:top w:w="0" w:type="dxa"/>
              <w:left w:w="105" w:type="dxa"/>
              <w:bottom w:w="0" w:type="dxa"/>
              <w:right w:w="105" w:type="dxa"/>
            </w:tcMar>
            <w:vAlign w:val="center"/>
          </w:tcPr>
          <w:p w14:paraId="125F27AB">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Y＜200</w:t>
            </w:r>
          </w:p>
        </w:tc>
      </w:tr>
      <w:tr w14:paraId="22DF920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3FF0DC96">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仓储业</w:t>
            </w:r>
          </w:p>
        </w:tc>
        <w:tc>
          <w:tcPr>
            <w:tcW w:w="1718" w:type="dxa"/>
            <w:tcMar>
              <w:top w:w="0" w:type="dxa"/>
              <w:left w:w="105" w:type="dxa"/>
              <w:bottom w:w="0" w:type="dxa"/>
              <w:right w:w="105" w:type="dxa"/>
            </w:tcMar>
            <w:vAlign w:val="center"/>
          </w:tcPr>
          <w:p w14:paraId="5DF63FF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5797AFC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10BA5A6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100≤X＜200</w:t>
            </w:r>
          </w:p>
        </w:tc>
        <w:tc>
          <w:tcPr>
            <w:tcW w:w="1709" w:type="dxa"/>
            <w:tcMar>
              <w:top w:w="0" w:type="dxa"/>
              <w:left w:w="105" w:type="dxa"/>
              <w:bottom w:w="0" w:type="dxa"/>
              <w:right w:w="105" w:type="dxa"/>
            </w:tcMar>
            <w:vAlign w:val="center"/>
          </w:tcPr>
          <w:p w14:paraId="455F54A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20≤X＜100</w:t>
            </w:r>
          </w:p>
        </w:tc>
        <w:tc>
          <w:tcPr>
            <w:tcW w:w="1500" w:type="dxa"/>
            <w:tcMar>
              <w:top w:w="0" w:type="dxa"/>
              <w:left w:w="105" w:type="dxa"/>
              <w:bottom w:w="0" w:type="dxa"/>
              <w:right w:w="105" w:type="dxa"/>
            </w:tcMar>
            <w:vAlign w:val="center"/>
          </w:tcPr>
          <w:p w14:paraId="3AE178A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7625114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467196E4">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3EBE6E3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7E9C3A7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7774AF7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1000≤Y＜30000</w:t>
            </w:r>
          </w:p>
        </w:tc>
        <w:tc>
          <w:tcPr>
            <w:tcW w:w="1709" w:type="dxa"/>
            <w:tcMar>
              <w:top w:w="0" w:type="dxa"/>
              <w:left w:w="105" w:type="dxa"/>
              <w:bottom w:w="0" w:type="dxa"/>
              <w:right w:w="105" w:type="dxa"/>
            </w:tcMar>
            <w:vAlign w:val="center"/>
          </w:tcPr>
          <w:p w14:paraId="0E989F5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100≤Y＜1000</w:t>
            </w:r>
          </w:p>
        </w:tc>
        <w:tc>
          <w:tcPr>
            <w:tcW w:w="1500" w:type="dxa"/>
            <w:tcMar>
              <w:top w:w="0" w:type="dxa"/>
              <w:left w:w="105" w:type="dxa"/>
              <w:bottom w:w="0" w:type="dxa"/>
              <w:right w:w="105" w:type="dxa"/>
            </w:tcMar>
            <w:vAlign w:val="center"/>
          </w:tcPr>
          <w:p w14:paraId="07284BD6">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589D9B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2F16F65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邮政业</w:t>
            </w:r>
          </w:p>
        </w:tc>
        <w:tc>
          <w:tcPr>
            <w:tcW w:w="1718" w:type="dxa"/>
            <w:tcMar>
              <w:top w:w="0" w:type="dxa"/>
              <w:left w:w="105" w:type="dxa"/>
              <w:bottom w:w="0" w:type="dxa"/>
              <w:right w:w="105" w:type="dxa"/>
            </w:tcMar>
            <w:vAlign w:val="center"/>
          </w:tcPr>
          <w:p w14:paraId="2AA337B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1A170A7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2B5C983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tcMar>
              <w:top w:w="0" w:type="dxa"/>
              <w:left w:w="105" w:type="dxa"/>
              <w:bottom w:w="0" w:type="dxa"/>
              <w:right w:w="105" w:type="dxa"/>
            </w:tcMar>
            <w:vAlign w:val="center"/>
          </w:tcPr>
          <w:p w14:paraId="12366B0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20≤X＜300</w:t>
            </w:r>
          </w:p>
        </w:tc>
        <w:tc>
          <w:tcPr>
            <w:tcW w:w="1500" w:type="dxa"/>
            <w:tcMar>
              <w:top w:w="0" w:type="dxa"/>
              <w:left w:w="105" w:type="dxa"/>
              <w:bottom w:w="0" w:type="dxa"/>
              <w:right w:w="105" w:type="dxa"/>
            </w:tcMar>
            <w:vAlign w:val="center"/>
          </w:tcPr>
          <w:p w14:paraId="2FD7413D">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X＜20</w:t>
            </w:r>
          </w:p>
        </w:tc>
      </w:tr>
      <w:tr w14:paraId="3100D44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44CC001E">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4309DFB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1792CAD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4B2963E2">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2000≤Y＜30000</w:t>
            </w:r>
          </w:p>
        </w:tc>
        <w:tc>
          <w:tcPr>
            <w:tcW w:w="1709" w:type="dxa"/>
            <w:tcMar>
              <w:top w:w="0" w:type="dxa"/>
              <w:left w:w="105" w:type="dxa"/>
              <w:bottom w:w="0" w:type="dxa"/>
              <w:right w:w="105" w:type="dxa"/>
            </w:tcMar>
            <w:vAlign w:val="center"/>
          </w:tcPr>
          <w:p w14:paraId="087A4D4A">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tcMar>
              <w:top w:w="0" w:type="dxa"/>
              <w:left w:w="105" w:type="dxa"/>
              <w:bottom w:w="0" w:type="dxa"/>
              <w:right w:w="105" w:type="dxa"/>
            </w:tcMar>
            <w:vAlign w:val="center"/>
          </w:tcPr>
          <w:p w14:paraId="7E1F0A3D">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043FBA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679283B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住宿业</w:t>
            </w:r>
          </w:p>
        </w:tc>
        <w:tc>
          <w:tcPr>
            <w:tcW w:w="1718" w:type="dxa"/>
            <w:tcMar>
              <w:top w:w="0" w:type="dxa"/>
              <w:left w:w="105" w:type="dxa"/>
              <w:bottom w:w="0" w:type="dxa"/>
              <w:right w:w="105" w:type="dxa"/>
            </w:tcMar>
            <w:vAlign w:val="center"/>
          </w:tcPr>
          <w:p w14:paraId="4E541CD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18CD6A0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1DB5E08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tcMar>
              <w:top w:w="0" w:type="dxa"/>
              <w:left w:w="105" w:type="dxa"/>
              <w:bottom w:w="0" w:type="dxa"/>
              <w:right w:w="105" w:type="dxa"/>
            </w:tcMar>
            <w:vAlign w:val="center"/>
          </w:tcPr>
          <w:p w14:paraId="38549AD4">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tcMar>
              <w:top w:w="0" w:type="dxa"/>
              <w:left w:w="105" w:type="dxa"/>
              <w:bottom w:w="0" w:type="dxa"/>
              <w:right w:w="105" w:type="dxa"/>
            </w:tcMar>
            <w:vAlign w:val="center"/>
          </w:tcPr>
          <w:p w14:paraId="2690194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3F94EB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224AF903">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3FCA02F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1D23C87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12E6EA9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2000≤Y＜10000</w:t>
            </w:r>
          </w:p>
        </w:tc>
        <w:tc>
          <w:tcPr>
            <w:tcW w:w="1709" w:type="dxa"/>
            <w:tcMar>
              <w:top w:w="0" w:type="dxa"/>
              <w:left w:w="105" w:type="dxa"/>
              <w:bottom w:w="0" w:type="dxa"/>
              <w:right w:w="105" w:type="dxa"/>
            </w:tcMar>
            <w:vAlign w:val="center"/>
          </w:tcPr>
          <w:p w14:paraId="62B8CE95">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tcMar>
              <w:top w:w="0" w:type="dxa"/>
              <w:left w:w="105" w:type="dxa"/>
              <w:bottom w:w="0" w:type="dxa"/>
              <w:right w:w="105" w:type="dxa"/>
            </w:tcMar>
            <w:vAlign w:val="center"/>
          </w:tcPr>
          <w:p w14:paraId="166B50A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407CAC5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674F4C47">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餐饮业</w:t>
            </w:r>
          </w:p>
        </w:tc>
        <w:tc>
          <w:tcPr>
            <w:tcW w:w="1718" w:type="dxa"/>
            <w:tcMar>
              <w:top w:w="0" w:type="dxa"/>
              <w:left w:w="105" w:type="dxa"/>
              <w:bottom w:w="0" w:type="dxa"/>
              <w:right w:w="105" w:type="dxa"/>
            </w:tcMar>
            <w:vAlign w:val="center"/>
          </w:tcPr>
          <w:p w14:paraId="7E905B9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5F61749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03CF16C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tcMar>
              <w:top w:w="0" w:type="dxa"/>
              <w:left w:w="105" w:type="dxa"/>
              <w:bottom w:w="0" w:type="dxa"/>
              <w:right w:w="105" w:type="dxa"/>
            </w:tcMar>
            <w:vAlign w:val="center"/>
          </w:tcPr>
          <w:p w14:paraId="644FF4E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tcMar>
              <w:top w:w="0" w:type="dxa"/>
              <w:left w:w="105" w:type="dxa"/>
              <w:bottom w:w="0" w:type="dxa"/>
              <w:right w:w="105" w:type="dxa"/>
            </w:tcMar>
            <w:vAlign w:val="center"/>
          </w:tcPr>
          <w:p w14:paraId="4708B000">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5CD51C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55FEB6CC">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2AC8B793">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781F492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13D5A04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2000≤Y＜10000</w:t>
            </w:r>
          </w:p>
        </w:tc>
        <w:tc>
          <w:tcPr>
            <w:tcW w:w="1709" w:type="dxa"/>
            <w:tcMar>
              <w:top w:w="0" w:type="dxa"/>
              <w:left w:w="105" w:type="dxa"/>
              <w:bottom w:w="0" w:type="dxa"/>
              <w:right w:w="105" w:type="dxa"/>
            </w:tcMar>
            <w:vAlign w:val="center"/>
          </w:tcPr>
          <w:p w14:paraId="203A770E">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100≤Y＜2000</w:t>
            </w:r>
          </w:p>
        </w:tc>
        <w:tc>
          <w:tcPr>
            <w:tcW w:w="1500" w:type="dxa"/>
            <w:tcMar>
              <w:top w:w="0" w:type="dxa"/>
              <w:left w:w="105" w:type="dxa"/>
              <w:bottom w:w="0" w:type="dxa"/>
              <w:right w:w="105" w:type="dxa"/>
            </w:tcMar>
            <w:vAlign w:val="center"/>
          </w:tcPr>
          <w:p w14:paraId="6576173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14BE42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2A691FC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信息传输业</w:t>
            </w:r>
          </w:p>
        </w:tc>
        <w:tc>
          <w:tcPr>
            <w:tcW w:w="1718" w:type="dxa"/>
            <w:tcMar>
              <w:top w:w="0" w:type="dxa"/>
              <w:left w:w="105" w:type="dxa"/>
              <w:bottom w:w="0" w:type="dxa"/>
              <w:right w:w="105" w:type="dxa"/>
            </w:tcMar>
            <w:vAlign w:val="center"/>
          </w:tcPr>
          <w:p w14:paraId="27ABB3C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56C0752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584B143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100≤X＜2000</w:t>
            </w:r>
          </w:p>
        </w:tc>
        <w:tc>
          <w:tcPr>
            <w:tcW w:w="1709" w:type="dxa"/>
            <w:tcMar>
              <w:top w:w="0" w:type="dxa"/>
              <w:left w:w="105" w:type="dxa"/>
              <w:bottom w:w="0" w:type="dxa"/>
              <w:right w:w="105" w:type="dxa"/>
            </w:tcMar>
            <w:vAlign w:val="center"/>
          </w:tcPr>
          <w:p w14:paraId="091D6871">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tcMar>
              <w:top w:w="0" w:type="dxa"/>
              <w:left w:w="105" w:type="dxa"/>
              <w:bottom w:w="0" w:type="dxa"/>
              <w:right w:w="105" w:type="dxa"/>
            </w:tcMar>
            <w:vAlign w:val="center"/>
          </w:tcPr>
          <w:p w14:paraId="2B41118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3AB6A9C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3478268C">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43FD010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18D5D7A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4EB36EC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1000≤Y＜100000</w:t>
            </w:r>
          </w:p>
        </w:tc>
        <w:tc>
          <w:tcPr>
            <w:tcW w:w="1709" w:type="dxa"/>
            <w:tcMar>
              <w:top w:w="0" w:type="dxa"/>
              <w:left w:w="105" w:type="dxa"/>
              <w:bottom w:w="0" w:type="dxa"/>
              <w:right w:w="105" w:type="dxa"/>
            </w:tcMar>
            <w:vAlign w:val="center"/>
          </w:tcPr>
          <w:p w14:paraId="4310C6B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100≤Y＜1000</w:t>
            </w:r>
          </w:p>
        </w:tc>
        <w:tc>
          <w:tcPr>
            <w:tcW w:w="1500" w:type="dxa"/>
            <w:tcMar>
              <w:top w:w="0" w:type="dxa"/>
              <w:left w:w="105" w:type="dxa"/>
              <w:bottom w:w="0" w:type="dxa"/>
              <w:right w:w="105" w:type="dxa"/>
            </w:tcMar>
            <w:vAlign w:val="center"/>
          </w:tcPr>
          <w:p w14:paraId="0A4A28E7">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6379103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7F6EFA52">
            <w:pPr>
              <w:widowControl/>
              <w:spacing w:after="150" w:line="360" w:lineRule="auto"/>
              <w:ind w:firstLine="420"/>
              <w:jc w:val="center"/>
              <w:rPr>
                <w:rFonts w:ascii="宋体" w:hAnsi="宋体"/>
                <w:color w:val="auto"/>
                <w:highlight w:val="none"/>
              </w:rPr>
            </w:pPr>
            <w:r>
              <w:rPr>
                <w:rFonts w:hint="eastAsia" w:ascii="宋体" w:hAnsi="宋体" w:eastAsia="等线" w:cs="仿宋"/>
                <w:b/>
                <w:color w:val="auto"/>
                <w:highlight w:val="none"/>
              </w:rPr>
              <w:t>软件和信息技术服务业</w:t>
            </w:r>
          </w:p>
        </w:tc>
        <w:tc>
          <w:tcPr>
            <w:tcW w:w="1718" w:type="dxa"/>
            <w:tcMar>
              <w:top w:w="0" w:type="dxa"/>
              <w:left w:w="105" w:type="dxa"/>
              <w:bottom w:w="0" w:type="dxa"/>
              <w:right w:w="105" w:type="dxa"/>
            </w:tcMar>
            <w:vAlign w:val="center"/>
          </w:tcPr>
          <w:p w14:paraId="7C25056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673EE60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1A46394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tcMar>
              <w:top w:w="0" w:type="dxa"/>
              <w:left w:w="105" w:type="dxa"/>
              <w:bottom w:w="0" w:type="dxa"/>
              <w:right w:w="105" w:type="dxa"/>
            </w:tcMar>
            <w:vAlign w:val="center"/>
          </w:tcPr>
          <w:p w14:paraId="324C724F">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tcMar>
              <w:top w:w="0" w:type="dxa"/>
              <w:left w:w="105" w:type="dxa"/>
              <w:bottom w:w="0" w:type="dxa"/>
              <w:right w:w="105" w:type="dxa"/>
            </w:tcMar>
            <w:vAlign w:val="center"/>
          </w:tcPr>
          <w:p w14:paraId="1ADAE773">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635AE50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0D405F1D">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2FF74B6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17CC924E">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7F947D9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1000≤Y＜10000</w:t>
            </w:r>
          </w:p>
        </w:tc>
        <w:tc>
          <w:tcPr>
            <w:tcW w:w="1709" w:type="dxa"/>
            <w:tcMar>
              <w:top w:w="0" w:type="dxa"/>
              <w:left w:w="105" w:type="dxa"/>
              <w:bottom w:w="0" w:type="dxa"/>
              <w:right w:w="105" w:type="dxa"/>
            </w:tcMar>
            <w:vAlign w:val="center"/>
          </w:tcPr>
          <w:p w14:paraId="08B6483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50≤Y＜1000</w:t>
            </w:r>
          </w:p>
        </w:tc>
        <w:tc>
          <w:tcPr>
            <w:tcW w:w="1500" w:type="dxa"/>
            <w:tcMar>
              <w:top w:w="0" w:type="dxa"/>
              <w:left w:w="105" w:type="dxa"/>
              <w:bottom w:w="0" w:type="dxa"/>
              <w:right w:w="105" w:type="dxa"/>
            </w:tcMar>
            <w:vAlign w:val="center"/>
          </w:tcPr>
          <w:p w14:paraId="373C6F27">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w:t>
            </w:r>
          </w:p>
        </w:tc>
      </w:tr>
      <w:tr w14:paraId="75C985F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689E2BE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房地产开发经营</w:t>
            </w:r>
          </w:p>
        </w:tc>
        <w:tc>
          <w:tcPr>
            <w:tcW w:w="1718" w:type="dxa"/>
            <w:tcMar>
              <w:top w:w="0" w:type="dxa"/>
              <w:left w:w="105" w:type="dxa"/>
              <w:bottom w:w="0" w:type="dxa"/>
              <w:right w:w="105" w:type="dxa"/>
            </w:tcMar>
            <w:vAlign w:val="center"/>
          </w:tcPr>
          <w:p w14:paraId="7017CF2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0C64D84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610B13F0">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1000≤Y＜200000</w:t>
            </w:r>
          </w:p>
        </w:tc>
        <w:tc>
          <w:tcPr>
            <w:tcW w:w="1709" w:type="dxa"/>
            <w:tcMar>
              <w:top w:w="0" w:type="dxa"/>
              <w:left w:w="105" w:type="dxa"/>
              <w:bottom w:w="0" w:type="dxa"/>
              <w:right w:w="105" w:type="dxa"/>
            </w:tcMar>
            <w:vAlign w:val="center"/>
          </w:tcPr>
          <w:p w14:paraId="5D764794">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100≤X＜1000</w:t>
            </w:r>
          </w:p>
        </w:tc>
        <w:tc>
          <w:tcPr>
            <w:tcW w:w="1500" w:type="dxa"/>
            <w:tcMar>
              <w:top w:w="0" w:type="dxa"/>
              <w:left w:w="105" w:type="dxa"/>
              <w:bottom w:w="0" w:type="dxa"/>
              <w:right w:w="105" w:type="dxa"/>
            </w:tcMar>
            <w:vAlign w:val="center"/>
          </w:tcPr>
          <w:p w14:paraId="10F78AFA">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X＜100</w:t>
            </w:r>
          </w:p>
        </w:tc>
      </w:tr>
      <w:tr w14:paraId="71838D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2803D2AE">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161376EC">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tcMar>
              <w:top w:w="0" w:type="dxa"/>
              <w:left w:w="105" w:type="dxa"/>
              <w:bottom w:w="0" w:type="dxa"/>
              <w:right w:w="105" w:type="dxa"/>
            </w:tcMar>
            <w:vAlign w:val="center"/>
          </w:tcPr>
          <w:p w14:paraId="38AD7389">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0939FD9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5000≤Z＜10000</w:t>
            </w:r>
          </w:p>
        </w:tc>
        <w:tc>
          <w:tcPr>
            <w:tcW w:w="1709" w:type="dxa"/>
            <w:tcMar>
              <w:top w:w="0" w:type="dxa"/>
              <w:left w:w="105" w:type="dxa"/>
              <w:bottom w:w="0" w:type="dxa"/>
              <w:right w:w="105" w:type="dxa"/>
            </w:tcMar>
            <w:vAlign w:val="center"/>
          </w:tcPr>
          <w:p w14:paraId="76E40004">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2000≤Y＜5000</w:t>
            </w:r>
          </w:p>
        </w:tc>
        <w:tc>
          <w:tcPr>
            <w:tcW w:w="1500" w:type="dxa"/>
            <w:tcMar>
              <w:top w:w="0" w:type="dxa"/>
              <w:left w:w="105" w:type="dxa"/>
              <w:bottom w:w="0" w:type="dxa"/>
              <w:right w:w="105" w:type="dxa"/>
            </w:tcMar>
            <w:vAlign w:val="center"/>
          </w:tcPr>
          <w:p w14:paraId="2A1359FC">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Y＜2000</w:t>
            </w:r>
          </w:p>
        </w:tc>
      </w:tr>
      <w:tr w14:paraId="2754813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5F7AB3E9">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物业管理</w:t>
            </w:r>
          </w:p>
        </w:tc>
        <w:tc>
          <w:tcPr>
            <w:tcW w:w="1718" w:type="dxa"/>
            <w:tcMar>
              <w:top w:w="0" w:type="dxa"/>
              <w:left w:w="105" w:type="dxa"/>
              <w:bottom w:w="0" w:type="dxa"/>
              <w:right w:w="105" w:type="dxa"/>
            </w:tcMar>
            <w:vAlign w:val="center"/>
          </w:tcPr>
          <w:p w14:paraId="41B28DF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060A591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381F3FE5">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300≤X＜1000</w:t>
            </w:r>
          </w:p>
        </w:tc>
        <w:tc>
          <w:tcPr>
            <w:tcW w:w="1709" w:type="dxa"/>
            <w:tcMar>
              <w:top w:w="0" w:type="dxa"/>
              <w:left w:w="105" w:type="dxa"/>
              <w:bottom w:w="0" w:type="dxa"/>
              <w:right w:w="105" w:type="dxa"/>
            </w:tcMar>
            <w:vAlign w:val="center"/>
          </w:tcPr>
          <w:p w14:paraId="52BD3F72">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100≤X＜300</w:t>
            </w:r>
          </w:p>
        </w:tc>
        <w:tc>
          <w:tcPr>
            <w:tcW w:w="1500" w:type="dxa"/>
            <w:tcMar>
              <w:top w:w="0" w:type="dxa"/>
              <w:left w:w="105" w:type="dxa"/>
              <w:bottom w:w="0" w:type="dxa"/>
              <w:right w:w="105" w:type="dxa"/>
            </w:tcMar>
            <w:vAlign w:val="center"/>
          </w:tcPr>
          <w:p w14:paraId="56B83EA9">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X＜100</w:t>
            </w:r>
          </w:p>
        </w:tc>
      </w:tr>
      <w:tr w14:paraId="329961C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22484047">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711D7B1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营业收入（Y）</w:t>
            </w:r>
          </w:p>
        </w:tc>
        <w:tc>
          <w:tcPr>
            <w:tcW w:w="702" w:type="dxa"/>
            <w:tcMar>
              <w:top w:w="0" w:type="dxa"/>
              <w:left w:w="105" w:type="dxa"/>
              <w:bottom w:w="0" w:type="dxa"/>
              <w:right w:w="105" w:type="dxa"/>
            </w:tcMar>
            <w:vAlign w:val="center"/>
          </w:tcPr>
          <w:p w14:paraId="241CBB34">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51F9C74F">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1000≤Y＜5000</w:t>
            </w:r>
          </w:p>
        </w:tc>
        <w:tc>
          <w:tcPr>
            <w:tcW w:w="1709" w:type="dxa"/>
            <w:tcMar>
              <w:top w:w="0" w:type="dxa"/>
              <w:left w:w="105" w:type="dxa"/>
              <w:bottom w:w="0" w:type="dxa"/>
              <w:right w:w="105" w:type="dxa"/>
            </w:tcMar>
            <w:vAlign w:val="center"/>
          </w:tcPr>
          <w:p w14:paraId="701310FC">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500≤Y＜1000</w:t>
            </w:r>
          </w:p>
        </w:tc>
        <w:tc>
          <w:tcPr>
            <w:tcW w:w="1500" w:type="dxa"/>
            <w:tcMar>
              <w:top w:w="0" w:type="dxa"/>
              <w:left w:w="105" w:type="dxa"/>
              <w:bottom w:w="0" w:type="dxa"/>
              <w:right w:w="105" w:type="dxa"/>
            </w:tcMar>
            <w:vAlign w:val="center"/>
          </w:tcPr>
          <w:p w14:paraId="7275D638">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Y＜500</w:t>
            </w:r>
          </w:p>
        </w:tc>
      </w:tr>
      <w:tr w14:paraId="70C9D3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tcMar>
              <w:top w:w="0" w:type="dxa"/>
              <w:left w:w="105" w:type="dxa"/>
              <w:bottom w:w="0" w:type="dxa"/>
              <w:right w:w="105" w:type="dxa"/>
            </w:tcMar>
            <w:vAlign w:val="center"/>
          </w:tcPr>
          <w:p w14:paraId="55B05AC8">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租赁和商务服务业</w:t>
            </w:r>
          </w:p>
        </w:tc>
        <w:tc>
          <w:tcPr>
            <w:tcW w:w="1718" w:type="dxa"/>
            <w:tcMar>
              <w:top w:w="0" w:type="dxa"/>
              <w:left w:w="105" w:type="dxa"/>
              <w:bottom w:w="0" w:type="dxa"/>
              <w:right w:w="105" w:type="dxa"/>
            </w:tcMar>
            <w:vAlign w:val="center"/>
          </w:tcPr>
          <w:p w14:paraId="64DDA536">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56ACE90B">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46747438">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tcMar>
              <w:top w:w="0" w:type="dxa"/>
              <w:left w:w="105" w:type="dxa"/>
              <w:bottom w:w="0" w:type="dxa"/>
              <w:right w:w="105" w:type="dxa"/>
            </w:tcMar>
            <w:vAlign w:val="center"/>
          </w:tcPr>
          <w:p w14:paraId="4A437E96">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tcMar>
              <w:top w:w="0" w:type="dxa"/>
              <w:left w:w="105" w:type="dxa"/>
              <w:bottom w:w="0" w:type="dxa"/>
              <w:right w:w="105" w:type="dxa"/>
            </w:tcMar>
            <w:vAlign w:val="center"/>
          </w:tcPr>
          <w:p w14:paraId="1F8E1114">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r w14:paraId="7BA546E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vAlign w:val="center"/>
          </w:tcPr>
          <w:p w14:paraId="3157C929">
            <w:pPr>
              <w:widowControl/>
              <w:jc w:val="center"/>
              <w:rPr>
                <w:rFonts w:ascii="宋体" w:hAnsi="宋体" w:eastAsia="等线"/>
                <w:color w:val="auto"/>
                <w:highlight w:val="none"/>
              </w:rPr>
            </w:pPr>
          </w:p>
        </w:tc>
        <w:tc>
          <w:tcPr>
            <w:tcW w:w="1718" w:type="dxa"/>
            <w:tcMar>
              <w:top w:w="0" w:type="dxa"/>
              <w:left w:w="105" w:type="dxa"/>
              <w:bottom w:w="0" w:type="dxa"/>
              <w:right w:w="105" w:type="dxa"/>
            </w:tcMar>
            <w:vAlign w:val="center"/>
          </w:tcPr>
          <w:p w14:paraId="04E6C61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资产总额（Z）</w:t>
            </w:r>
          </w:p>
        </w:tc>
        <w:tc>
          <w:tcPr>
            <w:tcW w:w="702" w:type="dxa"/>
            <w:tcMar>
              <w:top w:w="0" w:type="dxa"/>
              <w:left w:w="105" w:type="dxa"/>
              <w:bottom w:w="0" w:type="dxa"/>
              <w:right w:w="105" w:type="dxa"/>
            </w:tcMar>
            <w:vAlign w:val="center"/>
          </w:tcPr>
          <w:p w14:paraId="2EFDEECD">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万元</w:t>
            </w:r>
          </w:p>
        </w:tc>
        <w:tc>
          <w:tcPr>
            <w:tcW w:w="1892" w:type="dxa"/>
            <w:tcMar>
              <w:top w:w="0" w:type="dxa"/>
              <w:left w:w="105" w:type="dxa"/>
              <w:bottom w:w="0" w:type="dxa"/>
              <w:right w:w="105" w:type="dxa"/>
            </w:tcMar>
            <w:vAlign w:val="center"/>
          </w:tcPr>
          <w:p w14:paraId="25F22BB1">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8000≤Z＜120000</w:t>
            </w:r>
          </w:p>
        </w:tc>
        <w:tc>
          <w:tcPr>
            <w:tcW w:w="1709" w:type="dxa"/>
            <w:tcMar>
              <w:top w:w="0" w:type="dxa"/>
              <w:left w:w="105" w:type="dxa"/>
              <w:bottom w:w="0" w:type="dxa"/>
              <w:right w:w="105" w:type="dxa"/>
            </w:tcMar>
            <w:vAlign w:val="center"/>
          </w:tcPr>
          <w:p w14:paraId="5C7883BB">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100≤Z＜8000</w:t>
            </w:r>
          </w:p>
        </w:tc>
        <w:tc>
          <w:tcPr>
            <w:tcW w:w="1500" w:type="dxa"/>
            <w:tcMar>
              <w:top w:w="0" w:type="dxa"/>
              <w:left w:w="105" w:type="dxa"/>
              <w:bottom w:w="0" w:type="dxa"/>
              <w:right w:w="105" w:type="dxa"/>
            </w:tcMar>
            <w:vAlign w:val="center"/>
          </w:tcPr>
          <w:p w14:paraId="7998A2C2">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Y＜100</w:t>
            </w:r>
          </w:p>
        </w:tc>
      </w:tr>
      <w:tr w14:paraId="29412E2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tcMar>
              <w:top w:w="0" w:type="dxa"/>
              <w:left w:w="105" w:type="dxa"/>
              <w:bottom w:w="0" w:type="dxa"/>
              <w:right w:w="105" w:type="dxa"/>
            </w:tcMar>
            <w:vAlign w:val="center"/>
          </w:tcPr>
          <w:p w14:paraId="14D60326">
            <w:pPr>
              <w:widowControl/>
              <w:spacing w:after="150" w:line="360" w:lineRule="auto"/>
              <w:jc w:val="center"/>
              <w:rPr>
                <w:rFonts w:hint="eastAsia" w:ascii="宋体" w:hAnsi="宋体" w:eastAsia="宋体"/>
                <w:color w:val="auto"/>
                <w:highlight w:val="none"/>
                <w:lang w:eastAsia="zh-CN"/>
              </w:rPr>
            </w:pPr>
            <w:r>
              <w:rPr>
                <w:rFonts w:hint="eastAsia" w:ascii="宋体" w:hAnsi="宋体" w:eastAsia="等线" w:cs="仿宋"/>
                <w:b/>
                <w:color w:val="auto"/>
                <w:highlight w:val="none"/>
                <w:lang w:eastAsia="zh-CN"/>
              </w:rPr>
              <w:t>租赁与商业服务业</w:t>
            </w:r>
          </w:p>
        </w:tc>
        <w:tc>
          <w:tcPr>
            <w:tcW w:w="1718" w:type="dxa"/>
            <w:tcMar>
              <w:top w:w="0" w:type="dxa"/>
              <w:left w:w="105" w:type="dxa"/>
              <w:bottom w:w="0" w:type="dxa"/>
              <w:right w:w="105" w:type="dxa"/>
            </w:tcMar>
            <w:vAlign w:val="center"/>
          </w:tcPr>
          <w:p w14:paraId="5979C32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从业人员（X）</w:t>
            </w:r>
          </w:p>
        </w:tc>
        <w:tc>
          <w:tcPr>
            <w:tcW w:w="702" w:type="dxa"/>
            <w:tcMar>
              <w:top w:w="0" w:type="dxa"/>
              <w:left w:w="105" w:type="dxa"/>
              <w:bottom w:w="0" w:type="dxa"/>
              <w:right w:w="105" w:type="dxa"/>
            </w:tcMar>
            <w:vAlign w:val="center"/>
          </w:tcPr>
          <w:p w14:paraId="600ACE4A">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人</w:t>
            </w:r>
          </w:p>
        </w:tc>
        <w:tc>
          <w:tcPr>
            <w:tcW w:w="1892" w:type="dxa"/>
            <w:tcMar>
              <w:top w:w="0" w:type="dxa"/>
              <w:left w:w="105" w:type="dxa"/>
              <w:bottom w:w="0" w:type="dxa"/>
              <w:right w:w="105" w:type="dxa"/>
            </w:tcMar>
            <w:vAlign w:val="center"/>
          </w:tcPr>
          <w:p w14:paraId="3AD5ECC7">
            <w:pPr>
              <w:widowControl/>
              <w:spacing w:after="150" w:line="360" w:lineRule="auto"/>
              <w:jc w:val="left"/>
              <w:rPr>
                <w:rFonts w:ascii="宋体" w:hAnsi="宋体"/>
                <w:color w:val="auto"/>
                <w:highlight w:val="none"/>
              </w:rPr>
            </w:pPr>
            <w:r>
              <w:rPr>
                <w:rFonts w:hint="eastAsia" w:ascii="宋体" w:hAnsi="宋体" w:eastAsia="等线" w:cs="仿宋"/>
                <w:b/>
                <w:color w:val="auto"/>
                <w:highlight w:val="none"/>
              </w:rPr>
              <w:t>100≤X＜300</w:t>
            </w:r>
          </w:p>
        </w:tc>
        <w:tc>
          <w:tcPr>
            <w:tcW w:w="1709" w:type="dxa"/>
            <w:tcMar>
              <w:top w:w="0" w:type="dxa"/>
              <w:left w:w="105" w:type="dxa"/>
              <w:bottom w:w="0" w:type="dxa"/>
              <w:right w:w="105" w:type="dxa"/>
            </w:tcMar>
            <w:vAlign w:val="center"/>
          </w:tcPr>
          <w:p w14:paraId="2F2B2CC6">
            <w:pPr>
              <w:widowControl/>
              <w:spacing w:after="150" w:line="360" w:lineRule="auto"/>
              <w:jc w:val="center"/>
              <w:rPr>
                <w:rFonts w:ascii="宋体" w:hAnsi="宋体"/>
                <w:color w:val="auto"/>
                <w:highlight w:val="none"/>
              </w:rPr>
            </w:pPr>
            <w:r>
              <w:rPr>
                <w:rFonts w:hint="eastAsia" w:ascii="宋体" w:hAnsi="宋体" w:eastAsia="等线" w:cs="仿宋"/>
                <w:b/>
                <w:color w:val="auto"/>
                <w:highlight w:val="none"/>
              </w:rPr>
              <w:t>10≤X＜100</w:t>
            </w:r>
          </w:p>
        </w:tc>
        <w:tc>
          <w:tcPr>
            <w:tcW w:w="1500" w:type="dxa"/>
            <w:tcMar>
              <w:top w:w="0" w:type="dxa"/>
              <w:left w:w="105" w:type="dxa"/>
              <w:bottom w:w="0" w:type="dxa"/>
              <w:right w:w="105" w:type="dxa"/>
            </w:tcMar>
            <w:vAlign w:val="center"/>
          </w:tcPr>
          <w:p w14:paraId="200DDF61">
            <w:pPr>
              <w:widowControl/>
              <w:spacing w:after="150" w:line="360" w:lineRule="auto"/>
              <w:ind w:firstLine="420"/>
              <w:jc w:val="left"/>
              <w:rPr>
                <w:rFonts w:ascii="宋体" w:hAnsi="宋体"/>
                <w:color w:val="auto"/>
                <w:highlight w:val="none"/>
              </w:rPr>
            </w:pPr>
            <w:r>
              <w:rPr>
                <w:rFonts w:hint="eastAsia" w:ascii="宋体" w:hAnsi="宋体" w:eastAsia="等线" w:cs="仿宋"/>
                <w:b/>
                <w:color w:val="auto"/>
                <w:highlight w:val="none"/>
              </w:rPr>
              <w:t>X＜10</w:t>
            </w:r>
          </w:p>
        </w:tc>
      </w:tr>
    </w:tbl>
    <w:p w14:paraId="33B2A495">
      <w:pPr>
        <w:widowControl/>
        <w:spacing w:before="300" w:after="452" w:line="360" w:lineRule="auto"/>
        <w:ind w:firstLine="810"/>
        <w:jc w:val="left"/>
        <w:rPr>
          <w:rFonts w:ascii="宋体" w:hAnsi="宋体"/>
          <w:color w:val="auto"/>
          <w:highlight w:val="none"/>
        </w:rPr>
      </w:pPr>
      <w:r>
        <w:rPr>
          <w:rFonts w:hint="eastAsia" w:ascii="宋体" w:hAnsi="宋体" w:eastAsia="等线" w:cs="仿宋"/>
          <w:b/>
          <w:color w:val="auto"/>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4773B143">
      <w:pPr>
        <w:spacing w:line="460" w:lineRule="exact"/>
        <w:jc w:val="center"/>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十、残疾人福利性单位声明函</w:t>
      </w:r>
    </w:p>
    <w:p w14:paraId="368F743E">
      <w:pPr>
        <w:spacing w:line="588" w:lineRule="exact"/>
        <w:ind w:firstLine="480"/>
        <w:rPr>
          <w:rFonts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项目（分包号：**）采购活动由本单位提供服务。</w:t>
      </w:r>
    </w:p>
    <w:p w14:paraId="6847509E">
      <w:pPr>
        <w:spacing w:line="588" w:lineRule="exac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6D252453">
      <w:pPr>
        <w:spacing w:line="588" w:lineRule="exact"/>
        <w:ind w:firstLine="480"/>
        <w:rPr>
          <w:rFonts w:ascii="宋体" w:hAnsi="宋体"/>
          <w:color w:val="auto"/>
          <w:sz w:val="24"/>
          <w:highlight w:val="none"/>
        </w:rPr>
      </w:pPr>
    </w:p>
    <w:p w14:paraId="6B4DD8EA">
      <w:pPr>
        <w:spacing w:line="588" w:lineRule="exact"/>
        <w:ind w:firstLine="480"/>
        <w:rPr>
          <w:rFonts w:ascii="宋体" w:hAnsi="宋体"/>
          <w:color w:val="auto"/>
          <w:sz w:val="24"/>
          <w:highlight w:val="none"/>
        </w:rPr>
      </w:pPr>
      <w:r>
        <w:rPr>
          <w:rFonts w:hint="eastAsia" w:ascii="宋体" w:hAnsi="宋体"/>
          <w:color w:val="auto"/>
          <w:sz w:val="24"/>
          <w:highlight w:val="none"/>
        </w:rPr>
        <w:t>（备注：中标人为残疾人福利单位的，此声明函将随中标结果同时公告，接受社会监督）</w:t>
      </w:r>
    </w:p>
    <w:p w14:paraId="42F20BF8">
      <w:pPr>
        <w:spacing w:line="588" w:lineRule="exact"/>
        <w:ind w:firstLine="624"/>
        <w:rPr>
          <w:rFonts w:ascii="仿宋_GB2312" w:eastAsia="仿宋_GB2312"/>
          <w:color w:val="auto"/>
          <w:spacing w:val="6"/>
          <w:sz w:val="30"/>
          <w:szCs w:val="30"/>
          <w:highlight w:val="none"/>
        </w:rPr>
      </w:pPr>
    </w:p>
    <w:p w14:paraId="2702C728">
      <w:pPr>
        <w:tabs>
          <w:tab w:val="left" w:pos="4860"/>
        </w:tabs>
        <w:spacing w:line="588" w:lineRule="exact"/>
        <w:ind w:right="1560" w:firstLine="624"/>
        <w:jc w:val="center"/>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p>
    <w:p w14:paraId="4D8F2050">
      <w:pPr>
        <w:tabs>
          <w:tab w:val="left" w:pos="4860"/>
        </w:tabs>
        <w:spacing w:line="588" w:lineRule="exact"/>
        <w:ind w:right="1560" w:firstLine="480"/>
        <w:jc w:val="center"/>
        <w:rPr>
          <w:rFonts w:ascii="宋体" w:hAnsi="宋体"/>
          <w:color w:val="auto"/>
          <w:sz w:val="24"/>
          <w:highlight w:val="none"/>
        </w:rPr>
      </w:pPr>
      <w:r>
        <w:rPr>
          <w:rFonts w:hint="eastAsia" w:ascii="宋体" w:hAnsi="宋体"/>
          <w:color w:val="auto"/>
          <w:sz w:val="24"/>
          <w:highlight w:val="none"/>
        </w:rPr>
        <w:t xml:space="preserve">        日  期：</w:t>
      </w:r>
    </w:p>
    <w:p w14:paraId="226869B6">
      <w:pPr>
        <w:spacing w:line="560" w:lineRule="exact"/>
        <w:jc w:val="center"/>
        <w:rPr>
          <w:rFonts w:ascii="黑体" w:hAnsi="黑体" w:eastAsia="黑体"/>
          <w:b/>
          <w:color w:val="auto"/>
          <w:sz w:val="32"/>
          <w:szCs w:val="32"/>
          <w:highlight w:val="none"/>
        </w:rPr>
      </w:pPr>
    </w:p>
    <w:p w14:paraId="7EBE561A">
      <w:pPr>
        <w:spacing w:line="560" w:lineRule="exact"/>
        <w:jc w:val="center"/>
        <w:rPr>
          <w:rFonts w:ascii="黑体" w:hAnsi="黑体" w:eastAsia="黑体"/>
          <w:b/>
          <w:color w:val="auto"/>
          <w:sz w:val="32"/>
          <w:szCs w:val="32"/>
          <w:highlight w:val="none"/>
        </w:rPr>
      </w:pPr>
    </w:p>
    <w:p w14:paraId="085E08F1">
      <w:pPr>
        <w:spacing w:line="560" w:lineRule="exact"/>
        <w:jc w:val="center"/>
        <w:rPr>
          <w:rFonts w:ascii="黑体" w:hAnsi="黑体" w:eastAsia="黑体"/>
          <w:b/>
          <w:color w:val="auto"/>
          <w:sz w:val="32"/>
          <w:szCs w:val="32"/>
          <w:highlight w:val="none"/>
        </w:rPr>
      </w:pPr>
    </w:p>
    <w:p w14:paraId="1148980A">
      <w:pPr>
        <w:spacing w:line="560" w:lineRule="exact"/>
        <w:jc w:val="center"/>
        <w:rPr>
          <w:rFonts w:ascii="黑体" w:hAnsi="黑体" w:eastAsia="黑体"/>
          <w:b/>
          <w:color w:val="auto"/>
          <w:sz w:val="32"/>
          <w:szCs w:val="32"/>
          <w:highlight w:val="none"/>
        </w:rPr>
      </w:pPr>
    </w:p>
    <w:p w14:paraId="76D001C6">
      <w:pPr>
        <w:spacing w:line="560" w:lineRule="exact"/>
        <w:jc w:val="center"/>
        <w:rPr>
          <w:rFonts w:ascii="黑体" w:hAnsi="黑体" w:eastAsia="黑体"/>
          <w:b/>
          <w:color w:val="auto"/>
          <w:sz w:val="32"/>
          <w:szCs w:val="32"/>
          <w:highlight w:val="none"/>
        </w:rPr>
      </w:pPr>
    </w:p>
    <w:p w14:paraId="7865D647">
      <w:pPr>
        <w:spacing w:line="560" w:lineRule="exact"/>
        <w:jc w:val="center"/>
        <w:rPr>
          <w:rFonts w:ascii="黑体" w:hAnsi="黑体" w:eastAsia="黑体"/>
          <w:b/>
          <w:color w:val="auto"/>
          <w:sz w:val="32"/>
          <w:szCs w:val="32"/>
          <w:highlight w:val="none"/>
        </w:rPr>
      </w:pPr>
    </w:p>
    <w:p w14:paraId="12A7774F">
      <w:pPr>
        <w:spacing w:line="560" w:lineRule="exact"/>
        <w:jc w:val="center"/>
        <w:rPr>
          <w:rFonts w:ascii="黑体" w:hAnsi="黑体" w:eastAsia="黑体"/>
          <w:b/>
          <w:color w:val="auto"/>
          <w:sz w:val="32"/>
          <w:szCs w:val="32"/>
          <w:highlight w:val="none"/>
        </w:rPr>
      </w:pPr>
    </w:p>
    <w:p w14:paraId="419E8485">
      <w:pPr>
        <w:spacing w:line="560" w:lineRule="exact"/>
        <w:jc w:val="center"/>
        <w:rPr>
          <w:rFonts w:ascii="黑体" w:hAnsi="黑体" w:eastAsia="黑体"/>
          <w:b/>
          <w:color w:val="auto"/>
          <w:sz w:val="32"/>
          <w:szCs w:val="32"/>
          <w:highlight w:val="none"/>
        </w:rPr>
      </w:pPr>
    </w:p>
    <w:p w14:paraId="56D80787">
      <w:pPr>
        <w:spacing w:line="560" w:lineRule="exact"/>
        <w:jc w:val="center"/>
        <w:rPr>
          <w:rFonts w:ascii="黑体" w:hAnsi="黑体" w:eastAsia="黑体"/>
          <w:b/>
          <w:color w:val="auto"/>
          <w:sz w:val="32"/>
          <w:szCs w:val="32"/>
          <w:highlight w:val="none"/>
        </w:rPr>
      </w:pPr>
    </w:p>
    <w:p w14:paraId="22115567">
      <w:pPr>
        <w:spacing w:line="560" w:lineRule="exact"/>
        <w:jc w:val="center"/>
        <w:rPr>
          <w:rFonts w:ascii="黑体" w:hAnsi="黑体" w:eastAsia="黑体"/>
          <w:b/>
          <w:color w:val="auto"/>
          <w:sz w:val="32"/>
          <w:szCs w:val="32"/>
          <w:highlight w:val="none"/>
        </w:rPr>
      </w:pPr>
    </w:p>
    <w:p w14:paraId="6F80DCE6">
      <w:pPr>
        <w:spacing w:line="560" w:lineRule="exact"/>
        <w:jc w:val="center"/>
        <w:rPr>
          <w:rFonts w:ascii="黑体" w:hAnsi="黑体" w:eastAsia="黑体"/>
          <w:b/>
          <w:color w:val="auto"/>
          <w:sz w:val="32"/>
          <w:szCs w:val="32"/>
          <w:highlight w:val="none"/>
        </w:rPr>
      </w:pPr>
    </w:p>
    <w:p w14:paraId="38CB1403">
      <w:pPr>
        <w:spacing w:line="560" w:lineRule="exact"/>
        <w:jc w:val="center"/>
        <w:rPr>
          <w:rFonts w:ascii="黑体" w:hAnsi="黑体" w:eastAsia="黑体"/>
          <w:b/>
          <w:color w:val="auto"/>
          <w:sz w:val="32"/>
          <w:szCs w:val="32"/>
          <w:highlight w:val="none"/>
        </w:rPr>
      </w:pPr>
    </w:p>
    <w:p w14:paraId="0797BD52">
      <w:pPr>
        <w:spacing w:line="560" w:lineRule="exact"/>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eastAsia="zh-CN"/>
        </w:rPr>
        <w:t>一</w:t>
      </w:r>
      <w:r>
        <w:rPr>
          <w:rFonts w:hint="eastAsia" w:ascii="黑体" w:hAnsi="黑体" w:eastAsia="黑体"/>
          <w:b/>
          <w:color w:val="auto"/>
          <w:sz w:val="32"/>
          <w:szCs w:val="32"/>
          <w:highlight w:val="none"/>
        </w:rPr>
        <w:t>、联合体协议（参考格式）</w:t>
      </w:r>
    </w:p>
    <w:p w14:paraId="0A60A833">
      <w:pPr>
        <w:spacing w:line="560" w:lineRule="exact"/>
        <w:rPr>
          <w:rFonts w:ascii="宋体" w:hAnsi="宋体"/>
          <w:color w:val="auto"/>
          <w:sz w:val="24"/>
          <w:highlight w:val="none"/>
        </w:rPr>
      </w:pPr>
      <w:r>
        <w:rPr>
          <w:rFonts w:hint="eastAsia" w:ascii="宋体" w:hAnsi="宋体"/>
          <w:color w:val="auto"/>
          <w:sz w:val="24"/>
          <w:highlight w:val="none"/>
        </w:rPr>
        <w:t>（联合体中各供应商全称）在此达成以下协议：</w:t>
      </w:r>
    </w:p>
    <w:p w14:paraId="41B566BF">
      <w:pPr>
        <w:spacing w:line="560" w:lineRule="exact"/>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w:t>
      </w:r>
      <w:r>
        <w:rPr>
          <w:rFonts w:hint="eastAsia" w:ascii="宋体" w:hAnsi="宋体"/>
          <w:color w:val="auto"/>
          <w:sz w:val="24"/>
          <w:highlight w:val="none"/>
        </w:rPr>
        <w:t>自愿组成联合体，参加</w:t>
      </w:r>
      <w:r>
        <w:rPr>
          <w:rFonts w:hint="eastAsia" w:ascii="宋体" w:hAnsi="宋体"/>
          <w:color w:val="auto"/>
          <w:sz w:val="24"/>
          <w:highlight w:val="none"/>
          <w:lang w:val="en-US" w:eastAsia="zh-CN"/>
        </w:rPr>
        <w:t>江苏弘业国际技术工程有限公司</w:t>
      </w:r>
      <w:r>
        <w:rPr>
          <w:rFonts w:hint="eastAsia" w:ascii="宋体" w:hAnsi="宋体"/>
          <w:color w:val="auto"/>
          <w:sz w:val="24"/>
          <w:highlight w:val="none"/>
        </w:rPr>
        <w:t>组织的采购编号为</w:t>
      </w:r>
      <w:r>
        <w:rPr>
          <w:rFonts w:hint="eastAsia" w:ascii="宋体" w:hAnsi="宋体"/>
          <w:color w:val="auto"/>
          <w:sz w:val="24"/>
          <w:highlight w:val="none"/>
          <w:u w:val="single"/>
        </w:rPr>
        <w:t>（编号全称），（项目全称）</w:t>
      </w:r>
      <w:r>
        <w:rPr>
          <w:rFonts w:hint="eastAsia" w:ascii="宋体" w:hAnsi="宋体"/>
          <w:color w:val="auto"/>
          <w:sz w:val="24"/>
          <w:highlight w:val="none"/>
        </w:rPr>
        <w:t>项目（分包号：**）的政府采购活动，我联合体指定</w:t>
      </w:r>
      <w:r>
        <w:rPr>
          <w:rFonts w:hint="eastAsia" w:ascii="宋体" w:hAnsi="宋体"/>
          <w:color w:val="auto"/>
          <w:sz w:val="24"/>
          <w:highlight w:val="none"/>
          <w:u w:val="single"/>
        </w:rPr>
        <w:t>（供应商*）</w:t>
      </w:r>
      <w:r>
        <w:rPr>
          <w:rFonts w:hint="eastAsia" w:ascii="宋体" w:hAnsi="宋体"/>
          <w:color w:val="auto"/>
          <w:sz w:val="24"/>
          <w:highlight w:val="none"/>
        </w:rPr>
        <w:t>为牵头单位（牵头单位必须为联合体成员）。</w:t>
      </w:r>
    </w:p>
    <w:p w14:paraId="3AB7DADF">
      <w:pPr>
        <w:spacing w:line="560" w:lineRule="exact"/>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、若我们联合中标、成交，（供应商单位</w:t>
      </w:r>
      <w:r>
        <w:rPr>
          <w:rFonts w:ascii="宋体" w:hAnsi="宋体"/>
          <w:color w:val="auto"/>
          <w:sz w:val="24"/>
          <w:highlight w:val="none"/>
        </w:rPr>
        <w:t>1</w:t>
      </w:r>
      <w:r>
        <w:rPr>
          <w:rFonts w:hint="eastAsia" w:ascii="宋体" w:hAnsi="宋体"/>
          <w:color w:val="auto"/>
          <w:sz w:val="24"/>
          <w:highlight w:val="none"/>
        </w:rPr>
        <w:t>全称）实施项目中（工作内容）部分工作，并承担相应的责任。（供应商单位</w:t>
      </w:r>
      <w:r>
        <w:rPr>
          <w:rFonts w:ascii="宋体" w:hAnsi="宋体"/>
          <w:color w:val="auto"/>
          <w:sz w:val="24"/>
          <w:highlight w:val="none"/>
        </w:rPr>
        <w:t>2</w:t>
      </w:r>
      <w:r>
        <w:rPr>
          <w:rFonts w:hint="eastAsia" w:ascii="宋体" w:hAnsi="宋体"/>
          <w:color w:val="auto"/>
          <w:sz w:val="24"/>
          <w:highlight w:val="none"/>
        </w:rPr>
        <w:t>全称）实施项目中（工作内容）部分工作，并承担相应的责任……。（注：联合体中各供应商都应明示所承担的工作和相应的责任）。</w:t>
      </w:r>
    </w:p>
    <w:p w14:paraId="536FC781">
      <w:pPr>
        <w:spacing w:line="560" w:lineRule="exact"/>
        <w:ind w:firstLine="645"/>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、其中</w:t>
      </w:r>
      <w:r>
        <w:rPr>
          <w:rFonts w:ascii="宋体" w:hAnsi="宋体"/>
          <w:color w:val="auto"/>
          <w:sz w:val="24"/>
          <w:highlight w:val="none"/>
          <w:u w:val="single"/>
        </w:rPr>
        <w:t xml:space="preserve">      </w:t>
      </w:r>
      <w:r>
        <w:rPr>
          <w:rFonts w:hint="eastAsia" w:ascii="宋体" w:hAnsi="宋体"/>
          <w:color w:val="auto"/>
          <w:sz w:val="24"/>
          <w:highlight w:val="none"/>
        </w:rPr>
        <w:t>（小型、微型企业/残疾人福利性单位/监狱企业全称）为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w:t>
      </w:r>
    </w:p>
    <w:p w14:paraId="5712B2BD">
      <w:pPr>
        <w:spacing w:line="560" w:lineRule="exact"/>
        <w:ind w:firstLine="645"/>
        <w:rPr>
          <w:rFonts w:ascii="宋体" w:hAnsi="宋体"/>
          <w:color w:val="auto"/>
          <w:sz w:val="24"/>
          <w:highlight w:val="none"/>
        </w:rPr>
      </w:pPr>
    </w:p>
    <w:p w14:paraId="513B4DB6">
      <w:pPr>
        <w:spacing w:line="560" w:lineRule="exact"/>
        <w:ind w:firstLine="645"/>
        <w:rPr>
          <w:rFonts w:ascii="宋体" w:hAnsi="宋体"/>
          <w:color w:val="auto"/>
          <w:sz w:val="24"/>
          <w:highlight w:val="none"/>
        </w:rPr>
      </w:pPr>
      <w:r>
        <w:rPr>
          <w:rFonts w:hint="eastAsia" w:ascii="宋体" w:hAnsi="宋体"/>
          <w:color w:val="auto"/>
          <w:sz w:val="24"/>
          <w:highlight w:val="none"/>
        </w:rPr>
        <w:t>备注：本招标文件中要求加盖CA电子签章的地方，仅需加盖牵头单位的CA电子签章。</w:t>
      </w:r>
    </w:p>
    <w:p w14:paraId="76B271AD">
      <w:pPr>
        <w:spacing w:line="560" w:lineRule="exact"/>
        <w:ind w:firstLine="645"/>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p>
    <w:p w14:paraId="1B7DFB27">
      <w:pPr>
        <w:spacing w:line="560" w:lineRule="exact"/>
        <w:ind w:firstLine="645"/>
        <w:jc w:val="right"/>
        <w:rPr>
          <w:rFonts w:ascii="宋体" w:hAnsi="宋体"/>
          <w:color w:val="auto"/>
          <w:sz w:val="24"/>
          <w:highlight w:val="none"/>
        </w:rPr>
      </w:pPr>
      <w:r>
        <w:rPr>
          <w:rFonts w:hint="eastAsia" w:ascii="宋体" w:hAnsi="宋体"/>
          <w:color w:val="auto"/>
          <w:sz w:val="24"/>
          <w:highlight w:val="none"/>
        </w:rPr>
        <w:t>联合体中各供应商全称（公章）：</w:t>
      </w:r>
      <w:r>
        <w:rPr>
          <w:rFonts w:ascii="宋体" w:hAnsi="宋体"/>
          <w:color w:val="auto"/>
          <w:sz w:val="24"/>
          <w:highlight w:val="none"/>
        </w:rPr>
        <w:t xml:space="preserve">     </w:t>
      </w:r>
    </w:p>
    <w:p w14:paraId="2B502773">
      <w:pPr>
        <w:spacing w:line="560" w:lineRule="exact"/>
        <w:ind w:firstLine="645"/>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日期：</w:t>
      </w:r>
    </w:p>
    <w:p w14:paraId="478770AF">
      <w:pPr>
        <w:spacing w:line="560" w:lineRule="exact"/>
        <w:ind w:firstLine="645"/>
        <w:rPr>
          <w:rFonts w:ascii="宋体" w:hAnsi="宋体"/>
          <w:color w:val="auto"/>
          <w:sz w:val="24"/>
          <w:highlight w:val="none"/>
        </w:rPr>
      </w:pPr>
    </w:p>
    <w:p w14:paraId="7899510A">
      <w:pPr>
        <w:spacing w:line="460" w:lineRule="exact"/>
        <w:rPr>
          <w:rFonts w:ascii="宋体" w:hAnsi="宋体"/>
          <w:bCs/>
          <w:color w:val="auto"/>
          <w:sz w:val="24"/>
          <w:highlight w:val="none"/>
        </w:rPr>
      </w:pPr>
    </w:p>
    <w:p w14:paraId="4B457ABA">
      <w:pPr>
        <w:spacing w:line="460" w:lineRule="exact"/>
        <w:rPr>
          <w:rFonts w:ascii="宋体" w:hAnsi="宋体"/>
          <w:bCs/>
          <w:color w:val="auto"/>
          <w:sz w:val="24"/>
          <w:highlight w:val="none"/>
        </w:rPr>
      </w:pPr>
    </w:p>
    <w:p w14:paraId="1C97BD43">
      <w:pPr>
        <w:spacing w:line="460" w:lineRule="exact"/>
        <w:rPr>
          <w:rFonts w:ascii="宋体" w:hAnsi="宋体"/>
          <w:bCs/>
          <w:color w:val="auto"/>
          <w:sz w:val="24"/>
          <w:highlight w:val="none"/>
        </w:rPr>
      </w:pPr>
    </w:p>
    <w:p w14:paraId="3C83F9C7">
      <w:pPr>
        <w:rPr>
          <w:rFonts w:ascii="黑体" w:hAnsi="黑体" w:eastAsia="黑体"/>
          <w:b/>
          <w:color w:val="auto"/>
          <w:sz w:val="32"/>
          <w:szCs w:val="32"/>
          <w:highlight w:val="none"/>
        </w:rPr>
      </w:pPr>
    </w:p>
    <w:p w14:paraId="26BE176B">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eastAsia="zh-CN"/>
        </w:rPr>
        <w:t>二</w:t>
      </w:r>
      <w:r>
        <w:rPr>
          <w:rFonts w:hint="eastAsia" w:ascii="黑体" w:hAnsi="黑体" w:eastAsia="黑体"/>
          <w:b/>
          <w:color w:val="auto"/>
          <w:sz w:val="32"/>
          <w:szCs w:val="32"/>
          <w:highlight w:val="none"/>
        </w:rPr>
        <w:t>、投标分项报价表</w:t>
      </w:r>
    </w:p>
    <w:tbl>
      <w:tblPr>
        <w:tblStyle w:val="38"/>
        <w:tblpPr w:leftFromText="180" w:rightFromText="180" w:vertAnchor="text" w:horzAnchor="page" w:tblpX="1315" w:tblpY="671"/>
        <w:tblW w:w="9371" w:type="dxa"/>
        <w:tblInd w:w="-108" w:type="dxa"/>
        <w:tblLayout w:type="fixed"/>
        <w:tblCellMar>
          <w:top w:w="0" w:type="dxa"/>
          <w:left w:w="108" w:type="dxa"/>
          <w:bottom w:w="0" w:type="dxa"/>
          <w:right w:w="108" w:type="dxa"/>
        </w:tblCellMar>
      </w:tblPr>
      <w:tblGrid>
        <w:gridCol w:w="582"/>
        <w:gridCol w:w="561"/>
        <w:gridCol w:w="2696"/>
        <w:gridCol w:w="676"/>
        <w:gridCol w:w="1110"/>
        <w:gridCol w:w="1125"/>
        <w:gridCol w:w="2621"/>
      </w:tblGrid>
      <w:tr w14:paraId="0541F9F5">
        <w:tblPrEx>
          <w:tblCellMar>
            <w:top w:w="0" w:type="dxa"/>
            <w:left w:w="108" w:type="dxa"/>
            <w:bottom w:w="0" w:type="dxa"/>
            <w:right w:w="108" w:type="dxa"/>
          </w:tblCellMar>
        </w:tblPrEx>
        <w:trPr>
          <w:trHeight w:val="388" w:hRule="atLeast"/>
        </w:trPr>
        <w:tc>
          <w:tcPr>
            <w:tcW w:w="582" w:type="dxa"/>
            <w:tcBorders>
              <w:top w:val="single" w:color="000000" w:sz="4" w:space="0"/>
              <w:left w:val="single" w:color="000000" w:sz="4" w:space="0"/>
              <w:bottom w:val="single" w:color="000000" w:sz="4" w:space="0"/>
              <w:right w:val="single" w:color="000000" w:sz="8" w:space="0"/>
            </w:tcBorders>
            <w:noWrap w:val="0"/>
            <w:vAlign w:val="center"/>
          </w:tcPr>
          <w:p w14:paraId="66D866C9">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序号</w:t>
            </w:r>
          </w:p>
        </w:tc>
        <w:tc>
          <w:tcPr>
            <w:tcW w:w="3257" w:type="dxa"/>
            <w:gridSpan w:val="2"/>
            <w:tcBorders>
              <w:top w:val="single" w:color="000000" w:sz="4" w:space="0"/>
              <w:left w:val="nil"/>
              <w:bottom w:val="single" w:color="000000" w:sz="8" w:space="0"/>
              <w:right w:val="single" w:color="000000" w:sz="8" w:space="0"/>
            </w:tcBorders>
            <w:noWrap w:val="0"/>
            <w:vAlign w:val="center"/>
          </w:tcPr>
          <w:p w14:paraId="72D666C9">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项目</w:t>
            </w:r>
          </w:p>
        </w:tc>
        <w:tc>
          <w:tcPr>
            <w:tcW w:w="676" w:type="dxa"/>
            <w:tcBorders>
              <w:top w:val="single" w:color="000000" w:sz="4" w:space="0"/>
              <w:left w:val="nil"/>
              <w:bottom w:val="single" w:color="000000" w:sz="8" w:space="0"/>
              <w:right w:val="single" w:color="000000" w:sz="8" w:space="0"/>
            </w:tcBorders>
            <w:noWrap w:val="0"/>
            <w:vAlign w:val="center"/>
          </w:tcPr>
          <w:p w14:paraId="01831B57">
            <w:pPr>
              <w:widowControl/>
              <w:spacing w:line="320" w:lineRule="exact"/>
              <w:jc w:val="center"/>
              <w:rPr>
                <w:rFonts w:hint="eastAsia" w:ascii="宋体" w:hAnsi="宋体" w:eastAsia="宋体" w:cs="Calibri"/>
                <w:color w:val="auto"/>
                <w:highlight w:val="none"/>
                <w:shd w:val="clear" w:color="auto" w:fill="auto"/>
                <w:lang w:eastAsia="zh-CN"/>
              </w:rPr>
            </w:pPr>
            <w:r>
              <w:rPr>
                <w:rFonts w:hint="eastAsia" w:ascii="宋体" w:hAnsi="宋体" w:cs="宋体"/>
                <w:color w:val="auto"/>
                <w:sz w:val="22"/>
                <w:szCs w:val="20"/>
                <w:highlight w:val="none"/>
                <w:shd w:val="clear" w:color="auto" w:fill="auto"/>
              </w:rPr>
              <w:t>数量</w:t>
            </w:r>
          </w:p>
        </w:tc>
        <w:tc>
          <w:tcPr>
            <w:tcW w:w="1110" w:type="dxa"/>
            <w:tcBorders>
              <w:top w:val="single" w:color="000000" w:sz="4" w:space="0"/>
              <w:left w:val="nil"/>
              <w:bottom w:val="single" w:color="000000" w:sz="8" w:space="0"/>
              <w:right w:val="single" w:color="000000" w:sz="8" w:space="0"/>
            </w:tcBorders>
            <w:noWrap w:val="0"/>
            <w:vAlign w:val="center"/>
          </w:tcPr>
          <w:p w14:paraId="6BB7239E">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单价</w:t>
            </w:r>
          </w:p>
          <w:p w14:paraId="2512A0C6">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（元/月）</w:t>
            </w:r>
          </w:p>
        </w:tc>
        <w:tc>
          <w:tcPr>
            <w:tcW w:w="1125" w:type="dxa"/>
            <w:tcBorders>
              <w:top w:val="single" w:color="000000" w:sz="4" w:space="0"/>
              <w:left w:val="nil"/>
              <w:bottom w:val="single" w:color="000000" w:sz="8" w:space="0"/>
              <w:right w:val="single" w:color="000000" w:sz="8" w:space="0"/>
            </w:tcBorders>
            <w:noWrap w:val="0"/>
            <w:vAlign w:val="center"/>
          </w:tcPr>
          <w:p w14:paraId="51C82C4F">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总价</w:t>
            </w:r>
          </w:p>
          <w:p w14:paraId="4394450D">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（元/年）</w:t>
            </w:r>
          </w:p>
        </w:tc>
        <w:tc>
          <w:tcPr>
            <w:tcW w:w="2621" w:type="dxa"/>
            <w:tcBorders>
              <w:top w:val="single" w:color="000000" w:sz="4" w:space="0"/>
              <w:left w:val="nil"/>
              <w:bottom w:val="single" w:color="000000" w:sz="8" w:space="0"/>
              <w:right w:val="single" w:color="000000" w:sz="4" w:space="0"/>
            </w:tcBorders>
            <w:noWrap w:val="0"/>
            <w:vAlign w:val="center"/>
          </w:tcPr>
          <w:p w14:paraId="249D0C5E">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测算依据</w:t>
            </w:r>
          </w:p>
        </w:tc>
      </w:tr>
      <w:tr w14:paraId="4AE7C6D7">
        <w:tblPrEx>
          <w:tblCellMar>
            <w:top w:w="0" w:type="dxa"/>
            <w:left w:w="108" w:type="dxa"/>
            <w:bottom w:w="0" w:type="dxa"/>
            <w:right w:w="108" w:type="dxa"/>
          </w:tblCellMar>
        </w:tblPrEx>
        <w:trPr>
          <w:trHeight w:val="450" w:hRule="atLeast"/>
        </w:trPr>
        <w:tc>
          <w:tcPr>
            <w:tcW w:w="582" w:type="dxa"/>
            <w:vMerge w:val="restart"/>
            <w:tcBorders>
              <w:top w:val="single" w:color="000000" w:sz="4" w:space="0"/>
              <w:left w:val="single" w:color="000000" w:sz="4" w:space="0"/>
              <w:bottom w:val="nil"/>
              <w:right w:val="single" w:color="000000" w:sz="4" w:space="0"/>
            </w:tcBorders>
            <w:noWrap w:val="0"/>
            <w:vAlign w:val="center"/>
          </w:tcPr>
          <w:p w14:paraId="67105B8F">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lang w:val="en-US" w:eastAsia="zh-CN"/>
              </w:rPr>
              <w:t>1</w:t>
            </w:r>
          </w:p>
        </w:tc>
        <w:tc>
          <w:tcPr>
            <w:tcW w:w="561" w:type="dxa"/>
            <w:vMerge w:val="restart"/>
            <w:tcBorders>
              <w:top w:val="nil"/>
              <w:left w:val="single" w:color="000000" w:sz="4" w:space="0"/>
              <w:bottom w:val="nil"/>
              <w:right w:val="single" w:color="000000" w:sz="8" w:space="0"/>
            </w:tcBorders>
            <w:noWrap w:val="0"/>
            <w:vAlign w:val="center"/>
          </w:tcPr>
          <w:p w14:paraId="361705E4">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lang w:val="en-US" w:eastAsia="zh-CN"/>
              </w:rPr>
              <w:t>人员工资</w:t>
            </w:r>
          </w:p>
        </w:tc>
        <w:tc>
          <w:tcPr>
            <w:tcW w:w="2696" w:type="dxa"/>
            <w:tcBorders>
              <w:top w:val="nil"/>
              <w:left w:val="single" w:color="000000" w:sz="4" w:space="0"/>
              <w:bottom w:val="single" w:color="000000" w:sz="4" w:space="0"/>
              <w:right w:val="single" w:color="000000" w:sz="8" w:space="0"/>
            </w:tcBorders>
            <w:noWrap w:val="0"/>
            <w:vAlign w:val="center"/>
          </w:tcPr>
          <w:p w14:paraId="66D52DC5">
            <w:pPr>
              <w:widowControl/>
              <w:spacing w:line="320" w:lineRule="exact"/>
              <w:jc w:val="center"/>
              <w:rPr>
                <w:rFonts w:hint="eastAsia" w:ascii="宋体" w:hAnsi="宋体" w:cs="宋体"/>
                <w:color w:val="auto"/>
                <w:sz w:val="22"/>
                <w:szCs w:val="20"/>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项目经理</w:t>
            </w:r>
          </w:p>
        </w:tc>
        <w:tc>
          <w:tcPr>
            <w:tcW w:w="676" w:type="dxa"/>
            <w:tcBorders>
              <w:top w:val="single" w:color="000000" w:sz="4" w:space="0"/>
              <w:left w:val="single" w:color="000000" w:sz="4" w:space="0"/>
              <w:bottom w:val="single" w:color="000000" w:sz="4" w:space="0"/>
              <w:right w:val="single" w:color="000000" w:sz="4" w:space="0"/>
            </w:tcBorders>
            <w:noWrap w:val="0"/>
            <w:vAlign w:val="center"/>
          </w:tcPr>
          <w:p w14:paraId="1F5FC339">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lang w:val="en-US" w:eastAsia="zh-CN"/>
              </w:rPr>
              <w:t>1</w:t>
            </w:r>
          </w:p>
        </w:tc>
        <w:tc>
          <w:tcPr>
            <w:tcW w:w="1110" w:type="dxa"/>
            <w:tcBorders>
              <w:top w:val="single" w:color="000000" w:sz="4" w:space="0"/>
              <w:left w:val="nil"/>
              <w:bottom w:val="single" w:color="000000" w:sz="4" w:space="0"/>
              <w:right w:val="single" w:color="000000" w:sz="4" w:space="0"/>
            </w:tcBorders>
            <w:noWrap w:val="0"/>
            <w:vAlign w:val="center"/>
          </w:tcPr>
          <w:p w14:paraId="2BAB5E4E">
            <w:pPr>
              <w:widowControl/>
              <w:spacing w:line="320" w:lineRule="exact"/>
              <w:jc w:val="center"/>
              <w:rPr>
                <w:rFonts w:ascii="宋体" w:hAnsi="宋体" w:cs="Calibri"/>
                <w:color w:val="auto"/>
                <w:highlight w:val="none"/>
                <w:shd w:val="clear" w:color="auto" w:fill="auto"/>
              </w:rPr>
            </w:pPr>
          </w:p>
        </w:tc>
        <w:tc>
          <w:tcPr>
            <w:tcW w:w="1125" w:type="dxa"/>
            <w:tcBorders>
              <w:top w:val="single" w:color="000000" w:sz="4" w:space="0"/>
              <w:left w:val="nil"/>
              <w:bottom w:val="single" w:color="000000" w:sz="4" w:space="0"/>
              <w:right w:val="single" w:color="000000" w:sz="4" w:space="0"/>
            </w:tcBorders>
            <w:noWrap w:val="0"/>
            <w:vAlign w:val="center"/>
          </w:tcPr>
          <w:p w14:paraId="52298E29">
            <w:pPr>
              <w:widowControl/>
              <w:spacing w:line="320" w:lineRule="exact"/>
              <w:jc w:val="center"/>
              <w:rPr>
                <w:rFonts w:ascii="宋体" w:hAnsi="宋体" w:cs="Calibri"/>
                <w:color w:val="auto"/>
                <w:highlight w:val="none"/>
                <w:shd w:val="clear" w:color="auto" w:fill="auto"/>
              </w:rPr>
            </w:pPr>
          </w:p>
        </w:tc>
        <w:tc>
          <w:tcPr>
            <w:tcW w:w="2621" w:type="dxa"/>
            <w:vMerge w:val="restart"/>
            <w:tcBorders>
              <w:top w:val="nil"/>
              <w:left w:val="nil"/>
              <w:bottom w:val="single" w:color="000000" w:sz="4" w:space="0"/>
              <w:right w:val="single" w:color="000000" w:sz="4" w:space="0"/>
            </w:tcBorders>
            <w:noWrap w:val="0"/>
            <w:vAlign w:val="center"/>
          </w:tcPr>
          <w:p w14:paraId="6976AA17">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按仪征市最新政策执行</w:t>
            </w:r>
          </w:p>
        </w:tc>
      </w:tr>
      <w:tr w14:paraId="0CCB81D1">
        <w:tblPrEx>
          <w:tblCellMar>
            <w:top w:w="0" w:type="dxa"/>
            <w:left w:w="108" w:type="dxa"/>
            <w:bottom w:w="0" w:type="dxa"/>
            <w:right w:w="108" w:type="dxa"/>
          </w:tblCellMar>
        </w:tblPrEx>
        <w:trPr>
          <w:trHeight w:val="405" w:hRule="atLeast"/>
        </w:trPr>
        <w:tc>
          <w:tcPr>
            <w:tcW w:w="582" w:type="dxa"/>
            <w:vMerge w:val="continue"/>
            <w:tcBorders>
              <w:top w:val="nil"/>
              <w:left w:val="single" w:color="000000" w:sz="4" w:space="0"/>
              <w:bottom w:val="nil"/>
              <w:right w:val="single" w:color="000000" w:sz="4" w:space="0"/>
            </w:tcBorders>
            <w:noWrap w:val="0"/>
            <w:vAlign w:val="center"/>
          </w:tcPr>
          <w:p w14:paraId="795DF8AD">
            <w:pPr>
              <w:widowControl/>
              <w:spacing w:line="320" w:lineRule="exact"/>
              <w:jc w:val="center"/>
              <w:rPr>
                <w:rFonts w:ascii="宋体" w:hAnsi="宋体" w:cs="Calibri"/>
                <w:color w:val="auto"/>
                <w:highlight w:val="none"/>
                <w:shd w:val="clear" w:color="auto" w:fill="auto"/>
              </w:rPr>
            </w:pPr>
          </w:p>
        </w:tc>
        <w:tc>
          <w:tcPr>
            <w:tcW w:w="561" w:type="dxa"/>
            <w:vMerge w:val="continue"/>
            <w:tcBorders>
              <w:top w:val="nil"/>
              <w:left w:val="single" w:color="000000" w:sz="4" w:space="0"/>
              <w:bottom w:val="nil"/>
              <w:right w:val="single" w:color="000000" w:sz="8" w:space="0"/>
            </w:tcBorders>
            <w:noWrap w:val="0"/>
            <w:vAlign w:val="center"/>
          </w:tcPr>
          <w:p w14:paraId="042B91FF">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4" w:space="0"/>
              <w:left w:val="single" w:color="000000" w:sz="4" w:space="0"/>
              <w:bottom w:val="single" w:color="000000" w:sz="4" w:space="0"/>
              <w:right w:val="single" w:color="000000" w:sz="8" w:space="0"/>
            </w:tcBorders>
            <w:noWrap w:val="0"/>
            <w:vAlign w:val="center"/>
          </w:tcPr>
          <w:p w14:paraId="0CBCB88D">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管理人员</w:t>
            </w:r>
          </w:p>
        </w:tc>
        <w:tc>
          <w:tcPr>
            <w:tcW w:w="676" w:type="dxa"/>
            <w:tcBorders>
              <w:top w:val="single" w:color="000000" w:sz="4" w:space="0"/>
              <w:left w:val="single" w:color="000000" w:sz="4" w:space="0"/>
              <w:bottom w:val="single" w:color="000000" w:sz="4" w:space="0"/>
              <w:right w:val="single" w:color="000000" w:sz="4" w:space="0"/>
            </w:tcBorders>
            <w:noWrap w:val="0"/>
            <w:vAlign w:val="center"/>
          </w:tcPr>
          <w:p w14:paraId="303A5376">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3</w:t>
            </w:r>
          </w:p>
        </w:tc>
        <w:tc>
          <w:tcPr>
            <w:tcW w:w="1110" w:type="dxa"/>
            <w:tcBorders>
              <w:top w:val="single" w:color="000000" w:sz="4" w:space="0"/>
              <w:left w:val="nil"/>
              <w:bottom w:val="single" w:color="000000" w:sz="4" w:space="0"/>
              <w:right w:val="single" w:color="000000" w:sz="4" w:space="0"/>
            </w:tcBorders>
            <w:noWrap w:val="0"/>
            <w:vAlign w:val="center"/>
          </w:tcPr>
          <w:p w14:paraId="79DF793B">
            <w:pPr>
              <w:widowControl/>
              <w:spacing w:line="320" w:lineRule="exact"/>
              <w:jc w:val="center"/>
              <w:rPr>
                <w:rFonts w:ascii="宋体" w:hAnsi="宋体" w:cs="Calibri"/>
                <w:color w:val="auto"/>
                <w:highlight w:val="none"/>
                <w:shd w:val="clear" w:color="auto" w:fill="auto"/>
              </w:rPr>
            </w:pPr>
          </w:p>
        </w:tc>
        <w:tc>
          <w:tcPr>
            <w:tcW w:w="1125" w:type="dxa"/>
            <w:tcBorders>
              <w:top w:val="single" w:color="000000" w:sz="4" w:space="0"/>
              <w:left w:val="nil"/>
              <w:bottom w:val="single" w:color="000000" w:sz="4" w:space="0"/>
              <w:right w:val="single" w:color="000000" w:sz="4" w:space="0"/>
            </w:tcBorders>
            <w:noWrap w:val="0"/>
            <w:vAlign w:val="center"/>
          </w:tcPr>
          <w:p w14:paraId="7FE8FB7D">
            <w:pPr>
              <w:widowControl/>
              <w:spacing w:line="320" w:lineRule="exact"/>
              <w:jc w:val="center"/>
              <w:rPr>
                <w:rFonts w:ascii="宋体" w:hAnsi="宋体" w:cs="Calibri"/>
                <w:color w:val="auto"/>
                <w:highlight w:val="none"/>
                <w:shd w:val="clear" w:color="auto" w:fill="auto"/>
              </w:rPr>
            </w:pPr>
          </w:p>
        </w:tc>
        <w:tc>
          <w:tcPr>
            <w:tcW w:w="2621" w:type="dxa"/>
            <w:vMerge w:val="continue"/>
            <w:tcBorders>
              <w:top w:val="single" w:color="000000" w:sz="4" w:space="0"/>
              <w:left w:val="nil"/>
              <w:bottom w:val="single" w:color="000000" w:sz="8" w:space="0"/>
              <w:right w:val="single" w:color="000000" w:sz="8" w:space="0"/>
            </w:tcBorders>
            <w:noWrap w:val="0"/>
            <w:vAlign w:val="center"/>
          </w:tcPr>
          <w:p w14:paraId="21A38D76">
            <w:pPr>
              <w:widowControl/>
              <w:spacing w:line="320" w:lineRule="exact"/>
              <w:jc w:val="center"/>
              <w:rPr>
                <w:rFonts w:ascii="宋体" w:hAnsi="宋体" w:cs="Calibri"/>
                <w:color w:val="auto"/>
                <w:highlight w:val="none"/>
                <w:shd w:val="clear" w:color="auto" w:fill="auto"/>
              </w:rPr>
            </w:pPr>
          </w:p>
        </w:tc>
      </w:tr>
      <w:tr w14:paraId="2BB27602">
        <w:tblPrEx>
          <w:tblCellMar>
            <w:top w:w="0" w:type="dxa"/>
            <w:left w:w="108" w:type="dxa"/>
            <w:bottom w:w="0" w:type="dxa"/>
            <w:right w:w="108" w:type="dxa"/>
          </w:tblCellMar>
        </w:tblPrEx>
        <w:trPr>
          <w:trHeight w:val="450" w:hRule="atLeast"/>
        </w:trPr>
        <w:tc>
          <w:tcPr>
            <w:tcW w:w="582" w:type="dxa"/>
            <w:vMerge w:val="continue"/>
            <w:tcBorders>
              <w:top w:val="nil"/>
              <w:left w:val="single" w:color="000000" w:sz="4" w:space="0"/>
              <w:bottom w:val="nil"/>
              <w:right w:val="single" w:color="000000" w:sz="4" w:space="0"/>
            </w:tcBorders>
            <w:noWrap w:val="0"/>
            <w:vAlign w:val="center"/>
          </w:tcPr>
          <w:p w14:paraId="48D9AD33">
            <w:pPr>
              <w:widowControl/>
              <w:spacing w:line="320" w:lineRule="exact"/>
              <w:jc w:val="center"/>
              <w:rPr>
                <w:rFonts w:ascii="宋体" w:hAnsi="宋体" w:cs="Calibri"/>
                <w:color w:val="auto"/>
                <w:highlight w:val="none"/>
                <w:shd w:val="clear" w:color="auto" w:fill="auto"/>
              </w:rPr>
            </w:pPr>
          </w:p>
        </w:tc>
        <w:tc>
          <w:tcPr>
            <w:tcW w:w="561" w:type="dxa"/>
            <w:vMerge w:val="continue"/>
            <w:tcBorders>
              <w:top w:val="nil"/>
              <w:left w:val="single" w:color="000000" w:sz="4" w:space="0"/>
              <w:bottom w:val="nil"/>
              <w:right w:val="single" w:color="000000" w:sz="8" w:space="0"/>
            </w:tcBorders>
            <w:noWrap w:val="0"/>
            <w:vAlign w:val="center"/>
          </w:tcPr>
          <w:p w14:paraId="6428E78C">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4" w:space="0"/>
              <w:left w:val="single" w:color="000000" w:sz="4" w:space="0"/>
              <w:bottom w:val="single" w:color="000000" w:sz="4" w:space="0"/>
              <w:right w:val="single" w:color="000000" w:sz="8" w:space="0"/>
            </w:tcBorders>
            <w:noWrap w:val="0"/>
            <w:vAlign w:val="center"/>
          </w:tcPr>
          <w:p w14:paraId="7627E7DC">
            <w:pPr>
              <w:widowControl/>
              <w:spacing w:line="320" w:lineRule="exact"/>
              <w:jc w:val="center"/>
              <w:rPr>
                <w:rFonts w:hint="eastAsia"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秩序维护员</w:t>
            </w:r>
          </w:p>
        </w:tc>
        <w:tc>
          <w:tcPr>
            <w:tcW w:w="676" w:type="dxa"/>
            <w:tcBorders>
              <w:top w:val="nil"/>
              <w:left w:val="single" w:color="000000" w:sz="4" w:space="0"/>
              <w:bottom w:val="single" w:color="000000" w:sz="4" w:space="0"/>
              <w:right w:val="single" w:color="000000" w:sz="4" w:space="0"/>
            </w:tcBorders>
            <w:noWrap w:val="0"/>
            <w:vAlign w:val="center"/>
          </w:tcPr>
          <w:p w14:paraId="35A20961">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11</w:t>
            </w:r>
          </w:p>
        </w:tc>
        <w:tc>
          <w:tcPr>
            <w:tcW w:w="1110" w:type="dxa"/>
            <w:tcBorders>
              <w:top w:val="nil"/>
              <w:left w:val="nil"/>
              <w:bottom w:val="single" w:color="000000" w:sz="4" w:space="0"/>
              <w:right w:val="single" w:color="000000" w:sz="4" w:space="0"/>
            </w:tcBorders>
            <w:noWrap w:val="0"/>
            <w:vAlign w:val="center"/>
          </w:tcPr>
          <w:p w14:paraId="62051AB0">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4906A6A2">
            <w:pPr>
              <w:widowControl/>
              <w:spacing w:line="320" w:lineRule="exact"/>
              <w:jc w:val="center"/>
              <w:rPr>
                <w:rFonts w:ascii="宋体" w:hAnsi="宋体" w:cs="Calibri"/>
                <w:color w:val="auto"/>
                <w:highlight w:val="none"/>
                <w:shd w:val="clear" w:color="auto" w:fill="auto"/>
              </w:rPr>
            </w:pPr>
          </w:p>
        </w:tc>
        <w:tc>
          <w:tcPr>
            <w:tcW w:w="2621" w:type="dxa"/>
            <w:vMerge w:val="continue"/>
            <w:tcBorders>
              <w:top w:val="nil"/>
              <w:left w:val="nil"/>
              <w:bottom w:val="single" w:color="000000" w:sz="8" w:space="0"/>
              <w:right w:val="single" w:color="000000" w:sz="8" w:space="0"/>
            </w:tcBorders>
            <w:noWrap w:val="0"/>
            <w:vAlign w:val="center"/>
          </w:tcPr>
          <w:p w14:paraId="0FE57790">
            <w:pPr>
              <w:widowControl/>
              <w:spacing w:line="320" w:lineRule="exact"/>
              <w:jc w:val="center"/>
              <w:rPr>
                <w:rFonts w:ascii="宋体" w:hAnsi="宋体" w:cs="Calibri"/>
                <w:color w:val="auto"/>
                <w:highlight w:val="none"/>
                <w:shd w:val="clear" w:color="auto" w:fill="auto"/>
              </w:rPr>
            </w:pPr>
          </w:p>
        </w:tc>
      </w:tr>
      <w:tr w14:paraId="634E6B0A">
        <w:tblPrEx>
          <w:tblCellMar>
            <w:top w:w="0" w:type="dxa"/>
            <w:left w:w="108" w:type="dxa"/>
            <w:bottom w:w="0" w:type="dxa"/>
            <w:right w:w="108" w:type="dxa"/>
          </w:tblCellMar>
        </w:tblPrEx>
        <w:trPr>
          <w:trHeight w:val="450" w:hRule="atLeast"/>
        </w:trPr>
        <w:tc>
          <w:tcPr>
            <w:tcW w:w="582" w:type="dxa"/>
            <w:vMerge w:val="continue"/>
            <w:tcBorders>
              <w:top w:val="nil"/>
              <w:left w:val="single" w:color="000000" w:sz="4" w:space="0"/>
              <w:bottom w:val="nil"/>
              <w:right w:val="single" w:color="000000" w:sz="4" w:space="0"/>
            </w:tcBorders>
            <w:noWrap w:val="0"/>
            <w:vAlign w:val="center"/>
          </w:tcPr>
          <w:p w14:paraId="0CF334DB">
            <w:pPr>
              <w:widowControl/>
              <w:spacing w:line="320" w:lineRule="exact"/>
              <w:jc w:val="center"/>
              <w:rPr>
                <w:rFonts w:ascii="宋体" w:hAnsi="宋体" w:cs="Calibri"/>
                <w:color w:val="auto"/>
                <w:highlight w:val="none"/>
                <w:shd w:val="clear" w:color="auto" w:fill="auto"/>
              </w:rPr>
            </w:pPr>
          </w:p>
        </w:tc>
        <w:tc>
          <w:tcPr>
            <w:tcW w:w="561" w:type="dxa"/>
            <w:vMerge w:val="continue"/>
            <w:tcBorders>
              <w:top w:val="nil"/>
              <w:left w:val="single" w:color="000000" w:sz="4" w:space="0"/>
              <w:bottom w:val="nil"/>
              <w:right w:val="single" w:color="000000" w:sz="8" w:space="0"/>
            </w:tcBorders>
            <w:noWrap w:val="0"/>
            <w:vAlign w:val="center"/>
          </w:tcPr>
          <w:p w14:paraId="67EA68A4">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4" w:space="0"/>
              <w:left w:val="single" w:color="000000" w:sz="4" w:space="0"/>
              <w:bottom w:val="single" w:color="000000" w:sz="4" w:space="0"/>
              <w:right w:val="single" w:color="000000" w:sz="8" w:space="0"/>
            </w:tcBorders>
            <w:noWrap w:val="0"/>
            <w:vAlign w:val="center"/>
          </w:tcPr>
          <w:p w14:paraId="42B68529">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运送员</w:t>
            </w:r>
          </w:p>
        </w:tc>
        <w:tc>
          <w:tcPr>
            <w:tcW w:w="676" w:type="dxa"/>
            <w:tcBorders>
              <w:top w:val="nil"/>
              <w:left w:val="single" w:color="000000" w:sz="4" w:space="0"/>
              <w:bottom w:val="single" w:color="000000" w:sz="4" w:space="0"/>
              <w:right w:val="single" w:color="000000" w:sz="4" w:space="0"/>
            </w:tcBorders>
            <w:noWrap w:val="0"/>
            <w:vAlign w:val="center"/>
          </w:tcPr>
          <w:p w14:paraId="4AABEA7C">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lang w:val="en-US" w:eastAsia="zh-CN"/>
              </w:rPr>
              <w:t>4</w:t>
            </w:r>
          </w:p>
        </w:tc>
        <w:tc>
          <w:tcPr>
            <w:tcW w:w="1110" w:type="dxa"/>
            <w:tcBorders>
              <w:top w:val="nil"/>
              <w:left w:val="nil"/>
              <w:bottom w:val="single" w:color="000000" w:sz="4" w:space="0"/>
              <w:right w:val="single" w:color="000000" w:sz="4" w:space="0"/>
            </w:tcBorders>
            <w:noWrap w:val="0"/>
            <w:vAlign w:val="center"/>
          </w:tcPr>
          <w:p w14:paraId="636B013E">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727AD481">
            <w:pPr>
              <w:widowControl/>
              <w:spacing w:line="320" w:lineRule="exact"/>
              <w:jc w:val="center"/>
              <w:rPr>
                <w:rFonts w:ascii="宋体" w:hAnsi="宋体" w:cs="Calibri"/>
                <w:color w:val="auto"/>
                <w:highlight w:val="none"/>
                <w:shd w:val="clear" w:color="auto" w:fill="auto"/>
              </w:rPr>
            </w:pPr>
          </w:p>
        </w:tc>
        <w:tc>
          <w:tcPr>
            <w:tcW w:w="2621" w:type="dxa"/>
            <w:vMerge w:val="continue"/>
            <w:tcBorders>
              <w:top w:val="nil"/>
              <w:left w:val="nil"/>
              <w:bottom w:val="single" w:color="000000" w:sz="8" w:space="0"/>
              <w:right w:val="single" w:color="000000" w:sz="8" w:space="0"/>
            </w:tcBorders>
            <w:noWrap w:val="0"/>
            <w:vAlign w:val="center"/>
          </w:tcPr>
          <w:p w14:paraId="3E104423">
            <w:pPr>
              <w:widowControl/>
              <w:spacing w:line="320" w:lineRule="exact"/>
              <w:jc w:val="center"/>
              <w:rPr>
                <w:rFonts w:ascii="宋体" w:hAnsi="宋体" w:cs="Calibri"/>
                <w:color w:val="auto"/>
                <w:highlight w:val="none"/>
                <w:shd w:val="clear" w:color="auto" w:fill="auto"/>
              </w:rPr>
            </w:pPr>
          </w:p>
        </w:tc>
      </w:tr>
      <w:tr w14:paraId="1D7DCAB1">
        <w:tblPrEx>
          <w:tblCellMar>
            <w:top w:w="0" w:type="dxa"/>
            <w:left w:w="108" w:type="dxa"/>
            <w:bottom w:w="0" w:type="dxa"/>
            <w:right w:w="108" w:type="dxa"/>
          </w:tblCellMar>
        </w:tblPrEx>
        <w:trPr>
          <w:trHeight w:val="450" w:hRule="atLeast"/>
        </w:trPr>
        <w:tc>
          <w:tcPr>
            <w:tcW w:w="582" w:type="dxa"/>
            <w:vMerge w:val="continue"/>
            <w:tcBorders>
              <w:top w:val="nil"/>
              <w:left w:val="single" w:color="000000" w:sz="4" w:space="0"/>
              <w:bottom w:val="nil"/>
              <w:right w:val="single" w:color="000000" w:sz="4" w:space="0"/>
            </w:tcBorders>
            <w:noWrap w:val="0"/>
            <w:vAlign w:val="center"/>
          </w:tcPr>
          <w:p w14:paraId="409BEA12">
            <w:pPr>
              <w:widowControl/>
              <w:spacing w:line="320" w:lineRule="exact"/>
              <w:jc w:val="center"/>
              <w:rPr>
                <w:rFonts w:ascii="宋体" w:hAnsi="宋体" w:cs="Calibri"/>
                <w:color w:val="auto"/>
                <w:highlight w:val="none"/>
                <w:shd w:val="clear" w:color="auto" w:fill="auto"/>
              </w:rPr>
            </w:pPr>
          </w:p>
        </w:tc>
        <w:tc>
          <w:tcPr>
            <w:tcW w:w="561" w:type="dxa"/>
            <w:vMerge w:val="continue"/>
            <w:tcBorders>
              <w:top w:val="nil"/>
              <w:left w:val="single" w:color="000000" w:sz="4" w:space="0"/>
              <w:bottom w:val="nil"/>
              <w:right w:val="single" w:color="000000" w:sz="8" w:space="0"/>
            </w:tcBorders>
            <w:noWrap w:val="0"/>
            <w:vAlign w:val="center"/>
          </w:tcPr>
          <w:p w14:paraId="402A6E7B">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4" w:space="0"/>
              <w:left w:val="single" w:color="000000" w:sz="4" w:space="0"/>
              <w:bottom w:val="nil"/>
              <w:right w:val="single" w:color="000000" w:sz="8" w:space="0"/>
            </w:tcBorders>
            <w:noWrap w:val="0"/>
            <w:vAlign w:val="center"/>
          </w:tcPr>
          <w:p w14:paraId="6B3DABC5">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氧气操作员</w:t>
            </w:r>
          </w:p>
        </w:tc>
        <w:tc>
          <w:tcPr>
            <w:tcW w:w="676" w:type="dxa"/>
            <w:tcBorders>
              <w:top w:val="nil"/>
              <w:left w:val="single" w:color="000000" w:sz="4" w:space="0"/>
              <w:bottom w:val="single" w:color="000000" w:sz="4" w:space="0"/>
              <w:right w:val="single" w:color="000000" w:sz="4" w:space="0"/>
            </w:tcBorders>
            <w:noWrap w:val="0"/>
            <w:vAlign w:val="center"/>
          </w:tcPr>
          <w:p w14:paraId="25C0A7F4">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1</w:t>
            </w:r>
          </w:p>
        </w:tc>
        <w:tc>
          <w:tcPr>
            <w:tcW w:w="1110" w:type="dxa"/>
            <w:tcBorders>
              <w:top w:val="nil"/>
              <w:left w:val="nil"/>
              <w:bottom w:val="single" w:color="000000" w:sz="4" w:space="0"/>
              <w:right w:val="single" w:color="000000" w:sz="4" w:space="0"/>
            </w:tcBorders>
            <w:noWrap w:val="0"/>
            <w:vAlign w:val="center"/>
          </w:tcPr>
          <w:p w14:paraId="2C5F53EC">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5407A91A">
            <w:pPr>
              <w:widowControl/>
              <w:spacing w:line="320" w:lineRule="exact"/>
              <w:jc w:val="center"/>
              <w:rPr>
                <w:rFonts w:ascii="宋体" w:hAnsi="宋体" w:cs="Calibri"/>
                <w:color w:val="auto"/>
                <w:highlight w:val="none"/>
                <w:shd w:val="clear" w:color="auto" w:fill="auto"/>
              </w:rPr>
            </w:pPr>
          </w:p>
        </w:tc>
        <w:tc>
          <w:tcPr>
            <w:tcW w:w="2621" w:type="dxa"/>
            <w:vMerge w:val="continue"/>
            <w:tcBorders>
              <w:top w:val="nil"/>
              <w:left w:val="nil"/>
              <w:bottom w:val="single" w:color="000000" w:sz="8" w:space="0"/>
              <w:right w:val="single" w:color="000000" w:sz="8" w:space="0"/>
            </w:tcBorders>
            <w:noWrap w:val="0"/>
            <w:vAlign w:val="center"/>
          </w:tcPr>
          <w:p w14:paraId="7FB313C8">
            <w:pPr>
              <w:widowControl/>
              <w:spacing w:line="320" w:lineRule="exact"/>
              <w:jc w:val="center"/>
              <w:rPr>
                <w:rFonts w:ascii="宋体" w:hAnsi="宋体" w:cs="Calibri"/>
                <w:color w:val="auto"/>
                <w:highlight w:val="none"/>
                <w:shd w:val="clear" w:color="auto" w:fill="auto"/>
              </w:rPr>
            </w:pPr>
          </w:p>
        </w:tc>
      </w:tr>
      <w:tr w14:paraId="3CBC75F7">
        <w:tblPrEx>
          <w:tblCellMar>
            <w:top w:w="0" w:type="dxa"/>
            <w:left w:w="108" w:type="dxa"/>
            <w:bottom w:w="0" w:type="dxa"/>
            <w:right w:w="108" w:type="dxa"/>
          </w:tblCellMar>
        </w:tblPrEx>
        <w:trPr>
          <w:trHeight w:val="585" w:hRule="atLeast"/>
        </w:trPr>
        <w:tc>
          <w:tcPr>
            <w:tcW w:w="582" w:type="dxa"/>
            <w:vMerge w:val="continue"/>
            <w:tcBorders>
              <w:top w:val="single" w:color="000000" w:sz="4" w:space="0"/>
              <w:left w:val="single" w:color="000000" w:sz="8" w:space="0"/>
              <w:bottom w:val="single" w:color="000000" w:sz="8" w:space="0"/>
              <w:right w:val="single" w:color="000000" w:sz="8" w:space="0"/>
            </w:tcBorders>
            <w:noWrap w:val="0"/>
            <w:vAlign w:val="center"/>
          </w:tcPr>
          <w:p w14:paraId="1A698457">
            <w:pPr>
              <w:widowControl/>
              <w:spacing w:line="320" w:lineRule="exact"/>
              <w:jc w:val="center"/>
              <w:rPr>
                <w:rFonts w:ascii="宋体" w:hAnsi="宋体" w:cs="Calibri"/>
                <w:color w:val="auto"/>
                <w:highlight w:val="none"/>
                <w:shd w:val="clear" w:color="auto" w:fill="auto"/>
              </w:rPr>
            </w:pPr>
          </w:p>
        </w:tc>
        <w:tc>
          <w:tcPr>
            <w:tcW w:w="561" w:type="dxa"/>
            <w:vMerge w:val="continue"/>
            <w:tcBorders>
              <w:top w:val="single" w:color="000000" w:sz="8" w:space="0"/>
              <w:left w:val="nil"/>
              <w:bottom w:val="single" w:color="000000" w:sz="8" w:space="0"/>
              <w:right w:val="single" w:color="000000" w:sz="8" w:space="0"/>
            </w:tcBorders>
            <w:noWrap w:val="0"/>
            <w:vAlign w:val="center"/>
          </w:tcPr>
          <w:p w14:paraId="4A564617">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8" w:space="0"/>
              <w:left w:val="nil"/>
              <w:bottom w:val="single" w:color="000000" w:sz="8" w:space="0"/>
              <w:right w:val="single" w:color="000000" w:sz="8" w:space="0"/>
            </w:tcBorders>
            <w:noWrap w:val="0"/>
            <w:vAlign w:val="center"/>
          </w:tcPr>
          <w:p w14:paraId="0EF9E4BD">
            <w:pPr>
              <w:widowControl/>
              <w:spacing w:line="320" w:lineRule="exact"/>
              <w:jc w:val="center"/>
              <w:rPr>
                <w:rFonts w:hint="default" w:ascii="宋体" w:hAnsi="宋体" w:eastAsia="宋体" w:cs="Calibri"/>
                <w:color w:val="auto"/>
                <w:sz w:val="21"/>
                <w:szCs w:val="21"/>
                <w:highlight w:val="none"/>
                <w:shd w:val="clear" w:color="auto" w:fill="auto"/>
                <w:lang w:val="en-US" w:eastAsia="zh-CN" w:bidi="ar-SA"/>
              </w:rPr>
            </w:pPr>
            <w:r>
              <w:rPr>
                <w:rFonts w:hint="eastAsia" w:ascii="宋体" w:hAnsi="宋体" w:cs="Calibri"/>
                <w:color w:val="auto"/>
                <w:highlight w:val="none"/>
                <w:shd w:val="clear" w:color="auto" w:fill="auto"/>
                <w:lang w:val="en-US" w:eastAsia="zh-CN"/>
              </w:rPr>
              <w:t>工程（机器清洗消毒）</w:t>
            </w:r>
          </w:p>
        </w:tc>
        <w:tc>
          <w:tcPr>
            <w:tcW w:w="676" w:type="dxa"/>
            <w:tcBorders>
              <w:top w:val="nil"/>
              <w:left w:val="single" w:color="000000" w:sz="4" w:space="0"/>
              <w:bottom w:val="single" w:color="000000" w:sz="4" w:space="0"/>
              <w:right w:val="single" w:color="000000" w:sz="4" w:space="0"/>
            </w:tcBorders>
            <w:noWrap w:val="0"/>
            <w:vAlign w:val="center"/>
          </w:tcPr>
          <w:p w14:paraId="53227841">
            <w:pPr>
              <w:widowControl/>
              <w:spacing w:line="320" w:lineRule="exact"/>
              <w:jc w:val="center"/>
              <w:rPr>
                <w:rFonts w:hint="eastAsia" w:ascii="宋体" w:hAnsi="宋体" w:eastAsia="宋体" w:cs="Calibri"/>
                <w:color w:val="auto"/>
                <w:sz w:val="21"/>
                <w:szCs w:val="21"/>
                <w:highlight w:val="none"/>
                <w:shd w:val="clear" w:color="auto" w:fill="auto"/>
                <w:lang w:val="en-US" w:eastAsia="zh-CN" w:bidi="ar-SA"/>
              </w:rPr>
            </w:pPr>
            <w:r>
              <w:rPr>
                <w:rFonts w:hint="eastAsia" w:ascii="宋体" w:hAnsi="宋体" w:cs="Calibri"/>
                <w:color w:val="auto"/>
                <w:highlight w:val="none"/>
                <w:shd w:val="clear" w:color="auto" w:fill="auto"/>
                <w:lang w:val="en-US" w:eastAsia="zh-CN"/>
              </w:rPr>
              <w:t>1</w:t>
            </w:r>
          </w:p>
        </w:tc>
        <w:tc>
          <w:tcPr>
            <w:tcW w:w="1110" w:type="dxa"/>
            <w:tcBorders>
              <w:top w:val="nil"/>
              <w:left w:val="nil"/>
              <w:bottom w:val="single" w:color="000000" w:sz="4" w:space="0"/>
              <w:right w:val="single" w:color="000000" w:sz="4" w:space="0"/>
            </w:tcBorders>
            <w:noWrap w:val="0"/>
            <w:vAlign w:val="center"/>
          </w:tcPr>
          <w:p w14:paraId="6B185665">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62C50483">
            <w:pPr>
              <w:widowControl/>
              <w:spacing w:line="320" w:lineRule="exact"/>
              <w:jc w:val="center"/>
              <w:rPr>
                <w:rFonts w:ascii="宋体" w:hAnsi="宋体" w:cs="Calibri"/>
                <w:color w:val="auto"/>
                <w:highlight w:val="none"/>
                <w:shd w:val="clear" w:color="auto" w:fill="auto"/>
              </w:rPr>
            </w:pPr>
          </w:p>
        </w:tc>
        <w:tc>
          <w:tcPr>
            <w:tcW w:w="2621" w:type="dxa"/>
            <w:vMerge w:val="continue"/>
            <w:tcBorders>
              <w:top w:val="nil"/>
              <w:left w:val="nil"/>
              <w:bottom w:val="single" w:color="000000" w:sz="8" w:space="0"/>
              <w:right w:val="single" w:color="000000" w:sz="8" w:space="0"/>
            </w:tcBorders>
            <w:noWrap w:val="0"/>
            <w:vAlign w:val="center"/>
          </w:tcPr>
          <w:p w14:paraId="5A436A86">
            <w:pPr>
              <w:widowControl/>
              <w:spacing w:line="320" w:lineRule="exact"/>
              <w:jc w:val="center"/>
              <w:rPr>
                <w:rFonts w:ascii="宋体" w:hAnsi="宋体" w:cs="Calibri"/>
                <w:color w:val="auto"/>
                <w:highlight w:val="none"/>
                <w:shd w:val="clear" w:color="auto" w:fill="auto"/>
              </w:rPr>
            </w:pPr>
          </w:p>
        </w:tc>
      </w:tr>
      <w:tr w14:paraId="6F57AE56">
        <w:tblPrEx>
          <w:tblCellMar>
            <w:top w:w="0" w:type="dxa"/>
            <w:left w:w="108" w:type="dxa"/>
            <w:bottom w:w="0" w:type="dxa"/>
            <w:right w:w="108" w:type="dxa"/>
          </w:tblCellMar>
        </w:tblPrEx>
        <w:trPr>
          <w:trHeight w:val="430" w:hRule="atLeast"/>
        </w:trPr>
        <w:tc>
          <w:tcPr>
            <w:tcW w:w="582" w:type="dxa"/>
            <w:vMerge w:val="continue"/>
            <w:tcBorders>
              <w:top w:val="nil"/>
              <w:left w:val="single" w:color="000000" w:sz="8" w:space="0"/>
              <w:bottom w:val="single" w:color="000000" w:sz="8" w:space="0"/>
              <w:right w:val="single" w:color="000000" w:sz="8" w:space="0"/>
            </w:tcBorders>
            <w:noWrap w:val="0"/>
            <w:vAlign w:val="center"/>
          </w:tcPr>
          <w:p w14:paraId="2FCFFDD5">
            <w:pPr>
              <w:widowControl/>
              <w:spacing w:line="320" w:lineRule="exact"/>
              <w:jc w:val="center"/>
              <w:rPr>
                <w:rFonts w:ascii="宋体" w:hAnsi="宋体" w:cs="Calibri"/>
                <w:color w:val="auto"/>
                <w:highlight w:val="none"/>
                <w:shd w:val="clear" w:color="auto" w:fill="auto"/>
              </w:rPr>
            </w:pPr>
          </w:p>
        </w:tc>
        <w:tc>
          <w:tcPr>
            <w:tcW w:w="561" w:type="dxa"/>
            <w:vMerge w:val="continue"/>
            <w:tcBorders>
              <w:top w:val="single" w:color="000000" w:sz="8" w:space="0"/>
              <w:left w:val="nil"/>
              <w:bottom w:val="single" w:color="000000" w:sz="8" w:space="0"/>
              <w:right w:val="single" w:color="000000" w:sz="8" w:space="0"/>
            </w:tcBorders>
            <w:noWrap w:val="0"/>
            <w:vAlign w:val="center"/>
          </w:tcPr>
          <w:p w14:paraId="1041CD63">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8" w:space="0"/>
              <w:left w:val="nil"/>
              <w:bottom w:val="single" w:color="000000" w:sz="8" w:space="0"/>
              <w:right w:val="single" w:color="000000" w:sz="8" w:space="0"/>
            </w:tcBorders>
            <w:noWrap w:val="0"/>
            <w:vAlign w:val="center"/>
          </w:tcPr>
          <w:p w14:paraId="0E18A612">
            <w:pPr>
              <w:widowControl/>
              <w:spacing w:line="320" w:lineRule="exact"/>
              <w:jc w:val="center"/>
              <w:rPr>
                <w:rFonts w:hint="default"/>
                <w:color w:val="auto"/>
                <w:highlight w:val="none"/>
                <w:shd w:val="clear" w:color="auto" w:fill="auto"/>
                <w:lang w:val="en-US" w:eastAsia="zh-CN"/>
              </w:rPr>
            </w:pPr>
            <w:r>
              <w:rPr>
                <w:rFonts w:hint="eastAsia"/>
                <w:color w:val="auto"/>
                <w:highlight w:val="none"/>
                <w:shd w:val="clear" w:color="auto" w:fill="auto"/>
                <w:lang w:val="en-US" w:eastAsia="zh-CN"/>
              </w:rPr>
              <w:t>血透中心消毒</w:t>
            </w:r>
          </w:p>
        </w:tc>
        <w:tc>
          <w:tcPr>
            <w:tcW w:w="676" w:type="dxa"/>
            <w:tcBorders>
              <w:top w:val="nil"/>
              <w:left w:val="single" w:color="000000" w:sz="4" w:space="0"/>
              <w:bottom w:val="single" w:color="000000" w:sz="4" w:space="0"/>
              <w:right w:val="single" w:color="000000" w:sz="4" w:space="0"/>
            </w:tcBorders>
            <w:noWrap w:val="0"/>
            <w:vAlign w:val="center"/>
          </w:tcPr>
          <w:p w14:paraId="0241434B">
            <w:pPr>
              <w:widowControl/>
              <w:spacing w:line="320" w:lineRule="exact"/>
              <w:jc w:val="center"/>
              <w:rPr>
                <w:rFonts w:hint="default" w:ascii="宋体" w:hAnsi="宋体" w:cs="宋体"/>
                <w:color w:val="auto"/>
                <w:sz w:val="22"/>
                <w:szCs w:val="20"/>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2</w:t>
            </w:r>
          </w:p>
        </w:tc>
        <w:tc>
          <w:tcPr>
            <w:tcW w:w="1110" w:type="dxa"/>
            <w:tcBorders>
              <w:top w:val="nil"/>
              <w:left w:val="nil"/>
              <w:bottom w:val="single" w:color="000000" w:sz="4" w:space="0"/>
              <w:right w:val="single" w:color="000000" w:sz="4" w:space="0"/>
            </w:tcBorders>
            <w:noWrap w:val="0"/>
            <w:vAlign w:val="center"/>
          </w:tcPr>
          <w:p w14:paraId="5C9A7D57">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5C8E9C72">
            <w:pPr>
              <w:widowControl/>
              <w:spacing w:line="320" w:lineRule="exact"/>
              <w:jc w:val="center"/>
              <w:rPr>
                <w:rFonts w:ascii="宋体" w:hAnsi="宋体" w:cs="Calibri"/>
                <w:color w:val="auto"/>
                <w:highlight w:val="none"/>
                <w:shd w:val="clear" w:color="auto" w:fill="auto"/>
              </w:rPr>
            </w:pPr>
          </w:p>
        </w:tc>
        <w:tc>
          <w:tcPr>
            <w:tcW w:w="2621" w:type="dxa"/>
            <w:vMerge w:val="continue"/>
            <w:tcBorders>
              <w:top w:val="nil"/>
              <w:left w:val="nil"/>
              <w:bottom w:val="single" w:color="000000" w:sz="8" w:space="0"/>
              <w:right w:val="single" w:color="000000" w:sz="8" w:space="0"/>
            </w:tcBorders>
            <w:noWrap w:val="0"/>
            <w:vAlign w:val="center"/>
          </w:tcPr>
          <w:p w14:paraId="03FD0288">
            <w:pPr>
              <w:widowControl/>
              <w:spacing w:line="320" w:lineRule="exact"/>
              <w:jc w:val="center"/>
              <w:rPr>
                <w:rFonts w:hint="eastAsia" w:ascii="宋体" w:hAnsi="宋体" w:cs="Calibri"/>
                <w:color w:val="auto"/>
                <w:highlight w:val="none"/>
                <w:shd w:val="clear" w:color="auto" w:fill="auto"/>
              </w:rPr>
            </w:pPr>
          </w:p>
        </w:tc>
      </w:tr>
      <w:tr w14:paraId="2B1CEEDF">
        <w:tblPrEx>
          <w:tblCellMar>
            <w:top w:w="0" w:type="dxa"/>
            <w:left w:w="108" w:type="dxa"/>
            <w:bottom w:w="0" w:type="dxa"/>
            <w:right w:w="108" w:type="dxa"/>
          </w:tblCellMar>
        </w:tblPrEx>
        <w:trPr>
          <w:trHeight w:val="487" w:hRule="atLeast"/>
        </w:trPr>
        <w:tc>
          <w:tcPr>
            <w:tcW w:w="582" w:type="dxa"/>
            <w:vMerge w:val="continue"/>
            <w:tcBorders>
              <w:top w:val="nil"/>
              <w:left w:val="single" w:color="000000" w:sz="8" w:space="0"/>
              <w:bottom w:val="single" w:color="000000" w:sz="8" w:space="0"/>
              <w:right w:val="single" w:color="000000" w:sz="8" w:space="0"/>
            </w:tcBorders>
            <w:noWrap w:val="0"/>
            <w:vAlign w:val="center"/>
          </w:tcPr>
          <w:p w14:paraId="02BCEDD6">
            <w:pPr>
              <w:widowControl/>
              <w:spacing w:line="320" w:lineRule="exact"/>
              <w:jc w:val="center"/>
              <w:rPr>
                <w:rFonts w:ascii="宋体" w:hAnsi="宋体" w:cs="Calibri"/>
                <w:color w:val="auto"/>
                <w:highlight w:val="none"/>
                <w:shd w:val="clear" w:color="auto" w:fill="auto"/>
              </w:rPr>
            </w:pPr>
          </w:p>
        </w:tc>
        <w:tc>
          <w:tcPr>
            <w:tcW w:w="561" w:type="dxa"/>
            <w:vMerge w:val="continue"/>
            <w:tcBorders>
              <w:top w:val="single" w:color="000000" w:sz="8" w:space="0"/>
              <w:left w:val="nil"/>
              <w:bottom w:val="single" w:color="000000" w:sz="8" w:space="0"/>
              <w:right w:val="single" w:color="000000" w:sz="8" w:space="0"/>
            </w:tcBorders>
            <w:noWrap w:val="0"/>
            <w:vAlign w:val="center"/>
          </w:tcPr>
          <w:p w14:paraId="03275960">
            <w:pPr>
              <w:widowControl/>
              <w:spacing w:line="320" w:lineRule="exact"/>
              <w:jc w:val="center"/>
              <w:rPr>
                <w:rFonts w:ascii="宋体" w:hAnsi="宋体" w:cs="Calibri"/>
                <w:color w:val="auto"/>
                <w:highlight w:val="none"/>
                <w:shd w:val="clear" w:color="auto" w:fill="auto"/>
              </w:rPr>
            </w:pPr>
          </w:p>
        </w:tc>
        <w:tc>
          <w:tcPr>
            <w:tcW w:w="2696" w:type="dxa"/>
            <w:tcBorders>
              <w:top w:val="single" w:color="000000" w:sz="8" w:space="0"/>
              <w:left w:val="nil"/>
              <w:bottom w:val="single" w:color="000000" w:sz="8" w:space="0"/>
              <w:right w:val="single" w:color="000000" w:sz="8" w:space="0"/>
            </w:tcBorders>
            <w:noWrap w:val="0"/>
            <w:vAlign w:val="center"/>
          </w:tcPr>
          <w:p w14:paraId="61D3F24D">
            <w:pPr>
              <w:widowControl/>
              <w:spacing w:line="320" w:lineRule="exact"/>
              <w:jc w:val="center"/>
              <w:rPr>
                <w:rFonts w:hint="default" w:eastAsia="宋体"/>
                <w:color w:val="auto"/>
                <w:highlight w:val="none"/>
                <w:shd w:val="clear" w:color="auto" w:fill="auto"/>
                <w:lang w:val="en-US" w:eastAsia="zh-CN"/>
              </w:rPr>
            </w:pPr>
            <w:r>
              <w:rPr>
                <w:rFonts w:hint="eastAsia"/>
                <w:color w:val="auto"/>
                <w:highlight w:val="none"/>
                <w:shd w:val="clear" w:color="auto" w:fill="auto"/>
                <w:lang w:val="en-US" w:eastAsia="zh-CN"/>
              </w:rPr>
              <w:t>消毒员</w:t>
            </w:r>
          </w:p>
        </w:tc>
        <w:tc>
          <w:tcPr>
            <w:tcW w:w="676" w:type="dxa"/>
            <w:tcBorders>
              <w:top w:val="nil"/>
              <w:left w:val="single" w:color="000000" w:sz="4" w:space="0"/>
              <w:bottom w:val="single" w:color="000000" w:sz="4" w:space="0"/>
              <w:right w:val="single" w:color="000000" w:sz="4" w:space="0"/>
            </w:tcBorders>
            <w:noWrap w:val="0"/>
            <w:vAlign w:val="center"/>
          </w:tcPr>
          <w:p w14:paraId="27CB27FE">
            <w:pPr>
              <w:widowControl/>
              <w:spacing w:line="320" w:lineRule="exact"/>
              <w:jc w:val="center"/>
              <w:rPr>
                <w:rFonts w:hint="default" w:ascii="宋体" w:hAnsi="宋体" w:cs="Calibri"/>
                <w:color w:val="auto"/>
                <w:highlight w:val="none"/>
                <w:shd w:val="clear" w:color="auto" w:fill="auto"/>
                <w:lang w:val="en-US"/>
              </w:rPr>
            </w:pPr>
            <w:r>
              <w:rPr>
                <w:rFonts w:hint="eastAsia" w:ascii="宋体" w:hAnsi="宋体" w:cs="宋体"/>
                <w:color w:val="auto"/>
                <w:sz w:val="22"/>
                <w:szCs w:val="20"/>
                <w:highlight w:val="none"/>
                <w:shd w:val="clear" w:color="auto" w:fill="auto"/>
                <w:lang w:val="en-US" w:eastAsia="zh-CN"/>
              </w:rPr>
              <w:t>16</w:t>
            </w:r>
          </w:p>
        </w:tc>
        <w:tc>
          <w:tcPr>
            <w:tcW w:w="1110" w:type="dxa"/>
            <w:tcBorders>
              <w:top w:val="nil"/>
              <w:left w:val="nil"/>
              <w:bottom w:val="single" w:color="000000" w:sz="4" w:space="0"/>
              <w:right w:val="single" w:color="000000" w:sz="4" w:space="0"/>
            </w:tcBorders>
            <w:noWrap w:val="0"/>
            <w:vAlign w:val="center"/>
          </w:tcPr>
          <w:p w14:paraId="2327EA9F">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1CA05D2D">
            <w:pPr>
              <w:widowControl/>
              <w:spacing w:line="320" w:lineRule="exact"/>
              <w:jc w:val="center"/>
              <w:rPr>
                <w:rFonts w:ascii="宋体" w:hAnsi="宋体" w:cs="Calibri"/>
                <w:color w:val="auto"/>
                <w:highlight w:val="none"/>
                <w:shd w:val="clear" w:color="auto" w:fill="auto"/>
              </w:rPr>
            </w:pPr>
          </w:p>
        </w:tc>
        <w:tc>
          <w:tcPr>
            <w:tcW w:w="2621" w:type="dxa"/>
            <w:vMerge w:val="continue"/>
            <w:tcBorders>
              <w:top w:val="nil"/>
              <w:left w:val="nil"/>
              <w:bottom w:val="single" w:color="000000" w:sz="8" w:space="0"/>
              <w:right w:val="single" w:color="000000" w:sz="8" w:space="0"/>
            </w:tcBorders>
            <w:noWrap w:val="0"/>
            <w:vAlign w:val="center"/>
          </w:tcPr>
          <w:p w14:paraId="29CF2BAB">
            <w:pPr>
              <w:widowControl/>
              <w:spacing w:line="320" w:lineRule="exact"/>
              <w:jc w:val="center"/>
              <w:rPr>
                <w:rFonts w:hint="eastAsia" w:ascii="宋体" w:hAnsi="宋体" w:cs="Calibri"/>
                <w:color w:val="auto"/>
                <w:highlight w:val="none"/>
                <w:shd w:val="clear" w:color="auto" w:fill="auto"/>
              </w:rPr>
            </w:pPr>
          </w:p>
        </w:tc>
      </w:tr>
      <w:tr w14:paraId="5B5FCF6C">
        <w:trPr>
          <w:trHeight w:val="872" w:hRule="atLeast"/>
        </w:trPr>
        <w:tc>
          <w:tcPr>
            <w:tcW w:w="582" w:type="dxa"/>
            <w:tcBorders>
              <w:top w:val="nil"/>
              <w:left w:val="single" w:color="000000" w:sz="8" w:space="0"/>
              <w:bottom w:val="single" w:color="000000" w:sz="8" w:space="0"/>
              <w:right w:val="single" w:color="000000" w:sz="8" w:space="0"/>
            </w:tcBorders>
            <w:noWrap w:val="0"/>
            <w:vAlign w:val="center"/>
          </w:tcPr>
          <w:p w14:paraId="5C17E644">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2</w:t>
            </w:r>
          </w:p>
        </w:tc>
        <w:tc>
          <w:tcPr>
            <w:tcW w:w="3257" w:type="dxa"/>
            <w:gridSpan w:val="2"/>
            <w:tcBorders>
              <w:top w:val="single" w:color="000000" w:sz="8" w:space="0"/>
              <w:left w:val="nil"/>
              <w:bottom w:val="single" w:color="000000" w:sz="8" w:space="0"/>
              <w:right w:val="single" w:color="000000" w:sz="8" w:space="0"/>
            </w:tcBorders>
            <w:noWrap w:val="0"/>
            <w:vAlign w:val="center"/>
          </w:tcPr>
          <w:p w14:paraId="6A5CD13F">
            <w:pPr>
              <w:widowControl/>
              <w:spacing w:line="320" w:lineRule="exact"/>
              <w:jc w:val="center"/>
              <w:rPr>
                <w:rFonts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法定的社会保险</w:t>
            </w:r>
          </w:p>
          <w:p w14:paraId="7998BB7C">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（养老、工伤、失业）</w:t>
            </w:r>
          </w:p>
        </w:tc>
        <w:tc>
          <w:tcPr>
            <w:tcW w:w="676" w:type="dxa"/>
            <w:tcBorders>
              <w:top w:val="nil"/>
              <w:left w:val="single" w:color="000000" w:sz="4" w:space="0"/>
              <w:bottom w:val="single" w:color="000000" w:sz="4" w:space="0"/>
              <w:right w:val="single" w:color="000000" w:sz="4" w:space="0"/>
            </w:tcBorders>
            <w:noWrap w:val="0"/>
            <w:vAlign w:val="center"/>
          </w:tcPr>
          <w:p w14:paraId="17434999">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28</w:t>
            </w:r>
          </w:p>
        </w:tc>
        <w:tc>
          <w:tcPr>
            <w:tcW w:w="1110" w:type="dxa"/>
            <w:tcBorders>
              <w:top w:val="nil"/>
              <w:left w:val="nil"/>
              <w:bottom w:val="single" w:color="000000" w:sz="4" w:space="0"/>
              <w:right w:val="single" w:color="000000" w:sz="4" w:space="0"/>
            </w:tcBorders>
            <w:noWrap w:val="0"/>
            <w:vAlign w:val="center"/>
          </w:tcPr>
          <w:p w14:paraId="28AD8D56">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71D980E8">
            <w:pPr>
              <w:widowControl/>
              <w:spacing w:line="320" w:lineRule="exact"/>
              <w:jc w:val="center"/>
              <w:rPr>
                <w:rFonts w:ascii="宋体" w:hAnsi="宋体" w:cs="Calibri"/>
                <w:color w:val="auto"/>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3C70809D">
            <w:pPr>
              <w:pStyle w:val="248"/>
              <w:spacing w:line="320" w:lineRule="exact"/>
              <w:rPr>
                <w:rFonts w:hint="eastAsia" w:ascii="宋体" w:hAnsi="宋体" w:cs="Calibri"/>
                <w:color w:val="auto"/>
                <w:highlight w:val="none"/>
                <w:shd w:val="clear" w:color="auto" w:fill="auto"/>
              </w:rPr>
            </w:pPr>
            <w:r>
              <w:rPr>
                <w:rFonts w:hint="eastAsia" w:ascii="宋体" w:hAnsi="宋体" w:eastAsia="宋体" w:cs="宋体"/>
                <w:color w:val="auto"/>
                <w:sz w:val="22"/>
                <w:szCs w:val="22"/>
                <w:highlight w:val="none"/>
                <w:shd w:val="clear" w:color="auto" w:fill="auto"/>
              </w:rPr>
              <w:t>按仪征市最新政策执行（请写出单价计算公式）</w:t>
            </w:r>
          </w:p>
        </w:tc>
      </w:tr>
      <w:tr w14:paraId="49CED255">
        <w:tblPrEx>
          <w:tblCellMar>
            <w:top w:w="0" w:type="dxa"/>
            <w:left w:w="108" w:type="dxa"/>
            <w:bottom w:w="0" w:type="dxa"/>
            <w:right w:w="108" w:type="dxa"/>
          </w:tblCellMar>
        </w:tblPrEx>
        <w:trPr>
          <w:trHeight w:val="717" w:hRule="atLeast"/>
        </w:trPr>
        <w:tc>
          <w:tcPr>
            <w:tcW w:w="582" w:type="dxa"/>
            <w:tcBorders>
              <w:top w:val="nil"/>
              <w:left w:val="single" w:color="000000" w:sz="8" w:space="0"/>
              <w:bottom w:val="single" w:color="000000" w:sz="8" w:space="0"/>
              <w:right w:val="single" w:color="000000" w:sz="8" w:space="0"/>
            </w:tcBorders>
            <w:noWrap w:val="0"/>
            <w:vAlign w:val="center"/>
          </w:tcPr>
          <w:p w14:paraId="659F171C">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3</w:t>
            </w:r>
          </w:p>
        </w:tc>
        <w:tc>
          <w:tcPr>
            <w:tcW w:w="3257" w:type="dxa"/>
            <w:gridSpan w:val="2"/>
            <w:tcBorders>
              <w:top w:val="single" w:color="000000" w:sz="8" w:space="0"/>
              <w:left w:val="nil"/>
              <w:bottom w:val="single" w:color="000000" w:sz="8" w:space="0"/>
              <w:right w:val="single" w:color="000000" w:sz="8" w:space="0"/>
            </w:tcBorders>
            <w:noWrap w:val="0"/>
            <w:vAlign w:val="center"/>
          </w:tcPr>
          <w:p w14:paraId="4CCB6F0A">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医疗保险</w:t>
            </w:r>
          </w:p>
        </w:tc>
        <w:tc>
          <w:tcPr>
            <w:tcW w:w="676" w:type="dxa"/>
            <w:tcBorders>
              <w:top w:val="nil"/>
              <w:left w:val="single" w:color="000000" w:sz="4" w:space="0"/>
              <w:bottom w:val="single" w:color="000000" w:sz="4" w:space="0"/>
              <w:right w:val="single" w:color="000000" w:sz="4" w:space="0"/>
            </w:tcBorders>
            <w:noWrap w:val="0"/>
            <w:vAlign w:val="center"/>
          </w:tcPr>
          <w:p w14:paraId="5BEC22DC">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28</w:t>
            </w:r>
          </w:p>
        </w:tc>
        <w:tc>
          <w:tcPr>
            <w:tcW w:w="1110" w:type="dxa"/>
            <w:tcBorders>
              <w:top w:val="nil"/>
              <w:left w:val="nil"/>
              <w:bottom w:val="single" w:color="000000" w:sz="4" w:space="0"/>
              <w:right w:val="single" w:color="000000" w:sz="4" w:space="0"/>
            </w:tcBorders>
            <w:noWrap w:val="0"/>
            <w:vAlign w:val="center"/>
          </w:tcPr>
          <w:p w14:paraId="67E08DBB">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1F932462">
            <w:pPr>
              <w:widowControl/>
              <w:spacing w:line="320" w:lineRule="exact"/>
              <w:jc w:val="center"/>
              <w:rPr>
                <w:rFonts w:ascii="宋体" w:hAnsi="宋体" w:cs="Calibri"/>
                <w:color w:val="auto"/>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6A24BE43">
            <w:pPr>
              <w:pStyle w:val="248"/>
              <w:spacing w:line="320" w:lineRule="exact"/>
              <w:rPr>
                <w:rFonts w:ascii="宋体" w:hAnsi="宋体" w:cs="Calibri"/>
                <w:color w:val="auto"/>
                <w:highlight w:val="none"/>
                <w:shd w:val="clear" w:color="auto" w:fill="auto"/>
              </w:rPr>
            </w:pPr>
            <w:r>
              <w:rPr>
                <w:rFonts w:hint="eastAsia" w:ascii="宋体" w:hAnsi="宋体" w:eastAsia="宋体" w:cs="宋体"/>
                <w:color w:val="auto"/>
                <w:sz w:val="22"/>
                <w:szCs w:val="22"/>
                <w:highlight w:val="none"/>
                <w:shd w:val="clear" w:color="auto" w:fill="auto"/>
              </w:rPr>
              <w:t>按仪征市最新政策执行（请写出单价计算公式）</w:t>
            </w:r>
          </w:p>
        </w:tc>
      </w:tr>
      <w:tr w14:paraId="6543C3A6">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8" w:space="0"/>
              <w:right w:val="single" w:color="000000" w:sz="8" w:space="0"/>
            </w:tcBorders>
            <w:noWrap w:val="0"/>
            <w:vAlign w:val="center"/>
          </w:tcPr>
          <w:p w14:paraId="7B015214">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4</w:t>
            </w:r>
          </w:p>
        </w:tc>
        <w:tc>
          <w:tcPr>
            <w:tcW w:w="3257" w:type="dxa"/>
            <w:gridSpan w:val="2"/>
            <w:tcBorders>
              <w:top w:val="single" w:color="000000" w:sz="8" w:space="0"/>
              <w:left w:val="nil"/>
              <w:bottom w:val="single" w:color="000000" w:sz="8" w:space="0"/>
              <w:right w:val="single" w:color="000000" w:sz="8" w:space="0"/>
            </w:tcBorders>
            <w:noWrap w:val="0"/>
            <w:vAlign w:val="center"/>
          </w:tcPr>
          <w:p w14:paraId="57CDA5FF">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住房公积金（5%-12%）</w:t>
            </w:r>
          </w:p>
        </w:tc>
        <w:tc>
          <w:tcPr>
            <w:tcW w:w="676" w:type="dxa"/>
            <w:tcBorders>
              <w:top w:val="nil"/>
              <w:left w:val="single" w:color="000000" w:sz="4" w:space="0"/>
              <w:bottom w:val="single" w:color="000000" w:sz="4" w:space="0"/>
              <w:right w:val="single" w:color="000000" w:sz="4" w:space="0"/>
            </w:tcBorders>
            <w:noWrap w:val="0"/>
            <w:vAlign w:val="center"/>
          </w:tcPr>
          <w:p w14:paraId="771A2642">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28</w:t>
            </w:r>
          </w:p>
        </w:tc>
        <w:tc>
          <w:tcPr>
            <w:tcW w:w="1110" w:type="dxa"/>
            <w:tcBorders>
              <w:top w:val="nil"/>
              <w:left w:val="nil"/>
              <w:bottom w:val="single" w:color="000000" w:sz="4" w:space="0"/>
              <w:right w:val="single" w:color="000000" w:sz="4" w:space="0"/>
            </w:tcBorders>
            <w:noWrap w:val="0"/>
            <w:vAlign w:val="center"/>
          </w:tcPr>
          <w:p w14:paraId="6A058A98">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4C17621D">
            <w:pPr>
              <w:widowControl/>
              <w:spacing w:line="320" w:lineRule="exact"/>
              <w:jc w:val="center"/>
              <w:rPr>
                <w:rFonts w:ascii="宋体" w:hAnsi="宋体" w:cs="Calibri"/>
                <w:color w:val="auto"/>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240EE6F0">
            <w:pPr>
              <w:pStyle w:val="248"/>
              <w:spacing w:line="320" w:lineRule="exact"/>
              <w:rPr>
                <w:rFonts w:ascii="宋体" w:hAnsi="宋体" w:cs="Calibri"/>
                <w:color w:val="auto"/>
                <w:highlight w:val="none"/>
                <w:shd w:val="clear" w:color="auto" w:fill="auto"/>
              </w:rPr>
            </w:pPr>
            <w:r>
              <w:rPr>
                <w:rFonts w:hint="eastAsia" w:ascii="宋体" w:hAnsi="宋体" w:eastAsia="宋体" w:cs="宋体"/>
                <w:color w:val="auto"/>
                <w:sz w:val="22"/>
                <w:szCs w:val="22"/>
                <w:highlight w:val="none"/>
                <w:shd w:val="clear" w:color="auto" w:fill="auto"/>
              </w:rPr>
              <w:t>按人社局要求，当项目人员工资报价-项目人员按下限自行缴存的住房公积金≤我市最低工资标准，测算的住房公积金应为企业缴纳和个人缴纳之和。（请写</w:t>
            </w:r>
            <w:r>
              <w:rPr>
                <w:rFonts w:hint="eastAsia" w:ascii="宋体" w:hAnsi="宋体" w:eastAsia="宋体" w:cs="宋体"/>
                <w:color w:val="auto"/>
                <w:sz w:val="22"/>
                <w:szCs w:val="22"/>
                <w:highlight w:val="none"/>
                <w:shd w:val="clear" w:color="auto" w:fill="auto"/>
                <w:lang w:val="en-US" w:eastAsia="zh-CN"/>
              </w:rPr>
              <w:t>单价</w:t>
            </w:r>
            <w:r>
              <w:rPr>
                <w:rFonts w:hint="eastAsia" w:ascii="宋体" w:hAnsi="宋体" w:eastAsia="宋体" w:cs="宋体"/>
                <w:color w:val="auto"/>
                <w:sz w:val="22"/>
                <w:szCs w:val="22"/>
                <w:highlight w:val="none"/>
                <w:shd w:val="clear" w:color="auto" w:fill="auto"/>
              </w:rPr>
              <w:t>出计算公式）</w:t>
            </w:r>
          </w:p>
        </w:tc>
      </w:tr>
      <w:tr w14:paraId="731E0AE1">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8" w:space="0"/>
              <w:right w:val="single" w:color="000000" w:sz="8" w:space="0"/>
            </w:tcBorders>
            <w:noWrap w:val="0"/>
            <w:vAlign w:val="center"/>
          </w:tcPr>
          <w:p w14:paraId="64F7D0F9">
            <w:pPr>
              <w:widowControl/>
              <w:spacing w:line="320" w:lineRule="exact"/>
              <w:jc w:val="center"/>
              <w:rPr>
                <w:rFonts w:ascii="宋体" w:hAnsi="宋体" w:cs="Calibri"/>
                <w:color w:val="auto"/>
                <w:highlight w:val="none"/>
                <w:shd w:val="clear" w:color="auto" w:fill="auto"/>
              </w:rPr>
            </w:pPr>
            <w:r>
              <w:rPr>
                <w:rFonts w:hint="eastAsia" w:ascii="宋体" w:hAnsi="宋体" w:eastAsia="宋体" w:cs="宋体"/>
                <w:color w:val="auto"/>
                <w:sz w:val="22"/>
                <w:szCs w:val="20"/>
                <w:highlight w:val="none"/>
                <w:shd w:val="clear" w:color="auto" w:fill="auto"/>
              </w:rPr>
              <w:t>5</w:t>
            </w:r>
          </w:p>
        </w:tc>
        <w:tc>
          <w:tcPr>
            <w:tcW w:w="3257" w:type="dxa"/>
            <w:gridSpan w:val="2"/>
            <w:tcBorders>
              <w:top w:val="single" w:color="000000" w:sz="8" w:space="0"/>
              <w:left w:val="nil"/>
              <w:bottom w:val="single" w:color="000000" w:sz="8" w:space="0"/>
              <w:right w:val="single" w:color="000000" w:sz="8" w:space="0"/>
            </w:tcBorders>
            <w:noWrap w:val="0"/>
            <w:vAlign w:val="center"/>
          </w:tcPr>
          <w:p w14:paraId="66158CB3">
            <w:pPr>
              <w:widowControl/>
              <w:spacing w:line="320" w:lineRule="exact"/>
              <w:jc w:val="center"/>
              <w:rPr>
                <w:rFonts w:hint="eastAsia" w:ascii="宋体" w:hAnsi="宋体" w:eastAsia="宋体" w:cs="宋体"/>
                <w:color w:val="auto"/>
                <w:sz w:val="22"/>
                <w:szCs w:val="20"/>
                <w:highlight w:val="none"/>
                <w:shd w:val="clear" w:color="auto" w:fill="auto"/>
              </w:rPr>
            </w:pPr>
            <w:r>
              <w:rPr>
                <w:rFonts w:hint="eastAsia" w:ascii="宋体" w:hAnsi="宋体" w:eastAsia="宋体" w:cs="宋体"/>
                <w:color w:val="auto"/>
                <w:sz w:val="22"/>
                <w:szCs w:val="20"/>
                <w:highlight w:val="none"/>
                <w:shd w:val="clear" w:color="auto" w:fill="auto"/>
              </w:rPr>
              <w:t>法定节假日加班费</w:t>
            </w:r>
          </w:p>
          <w:p w14:paraId="555BA099">
            <w:pPr>
              <w:widowControl/>
              <w:spacing w:line="320" w:lineRule="exact"/>
              <w:jc w:val="center"/>
              <w:rPr>
                <w:rFonts w:ascii="宋体" w:hAnsi="宋体" w:cs="Calibri"/>
                <w:color w:val="auto"/>
                <w:highlight w:val="none"/>
                <w:shd w:val="clear" w:color="auto" w:fill="auto"/>
              </w:rPr>
            </w:pPr>
            <w:r>
              <w:rPr>
                <w:rFonts w:hint="eastAsia" w:ascii="宋体" w:hAnsi="宋体" w:eastAsia="宋体" w:cs="宋体"/>
                <w:color w:val="auto"/>
                <w:sz w:val="22"/>
                <w:szCs w:val="20"/>
                <w:highlight w:val="none"/>
                <w:shd w:val="clear" w:color="auto" w:fill="auto"/>
              </w:rPr>
              <w:t>（按1</w:t>
            </w:r>
            <w:r>
              <w:rPr>
                <w:rFonts w:hint="eastAsia" w:ascii="宋体" w:hAnsi="宋体" w:eastAsia="宋体" w:cs="宋体"/>
                <w:color w:val="auto"/>
                <w:sz w:val="22"/>
                <w:szCs w:val="20"/>
                <w:highlight w:val="none"/>
                <w:shd w:val="clear" w:color="auto" w:fill="auto"/>
                <w:lang w:val="en-US" w:eastAsia="zh-CN"/>
              </w:rPr>
              <w:t>3</w:t>
            </w:r>
            <w:r>
              <w:rPr>
                <w:rFonts w:hint="eastAsia" w:ascii="宋体" w:hAnsi="宋体" w:eastAsia="宋体" w:cs="宋体"/>
                <w:color w:val="auto"/>
                <w:sz w:val="22"/>
                <w:szCs w:val="20"/>
                <w:highlight w:val="none"/>
                <w:shd w:val="clear" w:color="auto" w:fill="auto"/>
              </w:rPr>
              <w:t>天计算）</w:t>
            </w:r>
          </w:p>
        </w:tc>
        <w:tc>
          <w:tcPr>
            <w:tcW w:w="676" w:type="dxa"/>
            <w:tcBorders>
              <w:top w:val="nil"/>
              <w:left w:val="single" w:color="000000" w:sz="4" w:space="0"/>
              <w:bottom w:val="single" w:color="000000" w:sz="4" w:space="0"/>
              <w:right w:val="single" w:color="000000" w:sz="4" w:space="0"/>
            </w:tcBorders>
            <w:noWrap w:val="0"/>
            <w:vAlign w:val="center"/>
          </w:tcPr>
          <w:p w14:paraId="5F5FD3D3">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20</w:t>
            </w:r>
          </w:p>
        </w:tc>
        <w:tc>
          <w:tcPr>
            <w:tcW w:w="1110" w:type="dxa"/>
            <w:tcBorders>
              <w:top w:val="nil"/>
              <w:left w:val="nil"/>
              <w:bottom w:val="single" w:color="000000" w:sz="4" w:space="0"/>
              <w:right w:val="single" w:color="000000" w:sz="4" w:space="0"/>
            </w:tcBorders>
            <w:noWrap w:val="0"/>
            <w:vAlign w:val="center"/>
          </w:tcPr>
          <w:p w14:paraId="37043730">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2029748A">
            <w:pPr>
              <w:widowControl/>
              <w:spacing w:line="320" w:lineRule="exact"/>
              <w:jc w:val="center"/>
              <w:rPr>
                <w:rFonts w:ascii="宋体" w:hAnsi="宋体" w:cs="Calibri"/>
                <w:color w:val="auto"/>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2CEB9B49">
            <w:pPr>
              <w:widowControl/>
              <w:spacing w:line="320" w:lineRule="exact"/>
              <w:jc w:val="both"/>
              <w:rPr>
                <w:rFonts w:ascii="宋体" w:hAnsi="宋体" w:cs="Calibri"/>
                <w:color w:val="auto"/>
                <w:highlight w:val="none"/>
                <w:shd w:val="clear" w:color="auto" w:fill="auto"/>
              </w:rPr>
            </w:pPr>
            <w:r>
              <w:rPr>
                <w:rFonts w:hint="eastAsia" w:ascii="宋体" w:hAnsi="宋体" w:eastAsia="宋体" w:cs="宋体"/>
                <w:color w:val="auto"/>
                <w:sz w:val="21"/>
                <w:szCs w:val="21"/>
                <w:highlight w:val="none"/>
              </w:rPr>
              <w:t>基本工资/21.75×</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天×3倍</w:t>
            </w:r>
          </w:p>
        </w:tc>
      </w:tr>
      <w:tr w14:paraId="232FEC37">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4" w:space="0"/>
              <w:right w:val="single" w:color="000000" w:sz="8" w:space="0"/>
            </w:tcBorders>
            <w:noWrap w:val="0"/>
            <w:vAlign w:val="center"/>
          </w:tcPr>
          <w:p w14:paraId="00DC22AC">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lang w:val="en-US" w:eastAsia="zh-CN"/>
              </w:rPr>
              <w:t>6</w:t>
            </w:r>
          </w:p>
        </w:tc>
        <w:tc>
          <w:tcPr>
            <w:tcW w:w="3257" w:type="dxa"/>
            <w:gridSpan w:val="2"/>
            <w:tcBorders>
              <w:top w:val="single" w:color="000000" w:sz="8" w:space="0"/>
              <w:left w:val="nil"/>
              <w:bottom w:val="single" w:color="000000" w:sz="4" w:space="0"/>
              <w:right w:val="single" w:color="000000" w:sz="8" w:space="0"/>
            </w:tcBorders>
            <w:noWrap w:val="0"/>
            <w:vAlign w:val="center"/>
          </w:tcPr>
          <w:p w14:paraId="798458BF">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lang w:val="en-US" w:eastAsia="zh-CN"/>
              </w:rPr>
              <w:t>节假日福利费</w:t>
            </w:r>
          </w:p>
        </w:tc>
        <w:tc>
          <w:tcPr>
            <w:tcW w:w="676" w:type="dxa"/>
            <w:tcBorders>
              <w:top w:val="nil"/>
              <w:left w:val="single" w:color="000000" w:sz="4" w:space="0"/>
              <w:bottom w:val="single" w:color="000000" w:sz="4" w:space="0"/>
              <w:right w:val="single" w:color="000000" w:sz="4" w:space="0"/>
            </w:tcBorders>
            <w:noWrap w:val="0"/>
            <w:vAlign w:val="center"/>
          </w:tcPr>
          <w:p w14:paraId="168F892C">
            <w:pPr>
              <w:widowControl/>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cs="Calibri"/>
                <w:color w:val="auto"/>
                <w:highlight w:val="none"/>
                <w:shd w:val="clear" w:color="auto" w:fill="auto"/>
                <w:lang w:val="en-US" w:eastAsia="zh-CN"/>
              </w:rPr>
              <w:t>39</w:t>
            </w:r>
          </w:p>
        </w:tc>
        <w:tc>
          <w:tcPr>
            <w:tcW w:w="1110" w:type="dxa"/>
            <w:tcBorders>
              <w:top w:val="nil"/>
              <w:left w:val="nil"/>
              <w:bottom w:val="single" w:color="000000" w:sz="4" w:space="0"/>
              <w:right w:val="single" w:color="000000" w:sz="4" w:space="0"/>
            </w:tcBorders>
            <w:noWrap w:val="0"/>
            <w:vAlign w:val="center"/>
          </w:tcPr>
          <w:p w14:paraId="7576CFFC">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62CBE9E4">
            <w:pPr>
              <w:widowControl/>
              <w:spacing w:line="320" w:lineRule="exact"/>
              <w:jc w:val="center"/>
              <w:rPr>
                <w:rFonts w:ascii="宋体" w:hAnsi="宋体" w:cs="Calibri"/>
                <w:color w:val="auto"/>
                <w:highlight w:val="none"/>
                <w:shd w:val="clear" w:color="auto" w:fill="auto"/>
              </w:rPr>
            </w:pPr>
          </w:p>
        </w:tc>
        <w:tc>
          <w:tcPr>
            <w:tcW w:w="2621" w:type="dxa"/>
            <w:tcBorders>
              <w:top w:val="nil"/>
              <w:left w:val="nil"/>
              <w:bottom w:val="single" w:color="000000" w:sz="4" w:space="0"/>
              <w:right w:val="single" w:color="000000" w:sz="8" w:space="0"/>
            </w:tcBorders>
            <w:noWrap w:val="0"/>
            <w:vAlign w:val="center"/>
          </w:tcPr>
          <w:p w14:paraId="69C3DA81">
            <w:pPr>
              <w:widowControl/>
              <w:spacing w:line="320" w:lineRule="exact"/>
              <w:jc w:val="center"/>
              <w:rPr>
                <w:rFonts w:ascii="宋体" w:hAnsi="宋体" w:cs="Calibri"/>
                <w:color w:val="auto"/>
                <w:highlight w:val="none"/>
                <w:shd w:val="clear" w:color="auto" w:fill="auto"/>
              </w:rPr>
            </w:pPr>
            <w:r>
              <w:rPr>
                <w:rFonts w:hint="eastAsia" w:ascii="宋体" w:hAnsi="宋体" w:cs="Calibri"/>
                <w:color w:val="auto"/>
                <w:sz w:val="24"/>
                <w:highlight w:val="none"/>
              </w:rPr>
              <w:t>按本项目所需进行测算</w:t>
            </w:r>
          </w:p>
        </w:tc>
      </w:tr>
      <w:tr w14:paraId="08CC61C8">
        <w:tblPrEx>
          <w:tblCellMar>
            <w:top w:w="0" w:type="dxa"/>
            <w:left w:w="108" w:type="dxa"/>
            <w:bottom w:w="0" w:type="dxa"/>
            <w:right w:w="108" w:type="dxa"/>
          </w:tblCellMar>
        </w:tblPrEx>
        <w:trPr>
          <w:trHeight w:val="585" w:hRule="atLeast"/>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2543D5DD">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7</w:t>
            </w:r>
          </w:p>
        </w:tc>
        <w:tc>
          <w:tcPr>
            <w:tcW w:w="3257" w:type="dxa"/>
            <w:gridSpan w:val="2"/>
            <w:tcBorders>
              <w:top w:val="single" w:color="000000" w:sz="4" w:space="0"/>
              <w:left w:val="single" w:color="000000" w:sz="4" w:space="0"/>
              <w:bottom w:val="single" w:color="000000" w:sz="4" w:space="0"/>
              <w:right w:val="single" w:color="000000" w:sz="4" w:space="0"/>
            </w:tcBorders>
            <w:noWrap w:val="0"/>
            <w:vAlign w:val="center"/>
          </w:tcPr>
          <w:p w14:paraId="10964437">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高温补贴</w:t>
            </w:r>
          </w:p>
        </w:tc>
        <w:tc>
          <w:tcPr>
            <w:tcW w:w="676" w:type="dxa"/>
            <w:tcBorders>
              <w:top w:val="single" w:color="000000" w:sz="4" w:space="0"/>
              <w:left w:val="single" w:color="000000" w:sz="4" w:space="0"/>
              <w:bottom w:val="single" w:color="000000" w:sz="4" w:space="0"/>
              <w:right w:val="single" w:color="000000" w:sz="4" w:space="0"/>
            </w:tcBorders>
            <w:noWrap w:val="0"/>
            <w:vAlign w:val="center"/>
          </w:tcPr>
          <w:p w14:paraId="71CCB26D">
            <w:pPr>
              <w:widowControl/>
              <w:spacing w:line="320" w:lineRule="exact"/>
              <w:jc w:val="center"/>
              <w:rPr>
                <w:rFonts w:ascii="宋体" w:hAnsi="宋体" w:cs="Calibri"/>
                <w:color w:val="auto"/>
                <w:highlight w:val="none"/>
                <w:shd w:val="clear" w:color="auto" w:fill="auto"/>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17C4317A">
            <w:pPr>
              <w:widowControl/>
              <w:spacing w:line="320" w:lineRule="exact"/>
              <w:jc w:val="center"/>
              <w:rPr>
                <w:rFonts w:ascii="宋体" w:hAnsi="宋体" w:cs="Calibri"/>
                <w:color w:val="auto"/>
                <w:highlight w:val="none"/>
                <w:shd w:val="clear" w:color="auto" w:fill="auto"/>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CA3D258">
            <w:pPr>
              <w:widowControl/>
              <w:spacing w:line="320" w:lineRule="exact"/>
              <w:jc w:val="center"/>
              <w:rPr>
                <w:rFonts w:ascii="宋体" w:hAnsi="宋体" w:cs="Calibri"/>
                <w:color w:val="auto"/>
                <w:highlight w:val="none"/>
                <w:shd w:val="clear" w:color="auto" w:fill="auto"/>
              </w:rPr>
            </w:pPr>
          </w:p>
        </w:tc>
        <w:tc>
          <w:tcPr>
            <w:tcW w:w="2621" w:type="dxa"/>
            <w:tcBorders>
              <w:top w:val="single" w:color="000000" w:sz="4" w:space="0"/>
              <w:left w:val="single" w:color="000000" w:sz="4" w:space="0"/>
              <w:bottom w:val="single" w:color="000000" w:sz="4" w:space="0"/>
              <w:right w:val="single" w:color="000000" w:sz="4" w:space="0"/>
            </w:tcBorders>
            <w:noWrap w:val="0"/>
            <w:vAlign w:val="center"/>
          </w:tcPr>
          <w:p w14:paraId="751086C3">
            <w:pPr>
              <w:widowControl/>
              <w:spacing w:line="320" w:lineRule="exact"/>
              <w:jc w:val="both"/>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高温补贴不低于国家相关标准300元/月，计4月/年/人</w:t>
            </w:r>
          </w:p>
        </w:tc>
      </w:tr>
      <w:tr w14:paraId="2E6F36E9">
        <w:tblPrEx>
          <w:tblCellMar>
            <w:top w:w="0" w:type="dxa"/>
            <w:left w:w="108" w:type="dxa"/>
            <w:bottom w:w="0" w:type="dxa"/>
            <w:right w:w="108" w:type="dxa"/>
          </w:tblCellMar>
        </w:tblPrEx>
        <w:trPr>
          <w:trHeight w:val="585" w:hRule="atLeast"/>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5E4BE59C">
            <w:pPr>
              <w:widowControl/>
              <w:spacing w:line="320" w:lineRule="exact"/>
              <w:jc w:val="center"/>
              <w:rPr>
                <w:rFonts w:ascii="宋体" w:hAnsi="宋体" w:eastAsia="宋体" w:cs="Calibri"/>
                <w:color w:val="auto"/>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8</w:t>
            </w:r>
          </w:p>
        </w:tc>
        <w:tc>
          <w:tcPr>
            <w:tcW w:w="3257" w:type="dxa"/>
            <w:gridSpan w:val="2"/>
            <w:tcBorders>
              <w:top w:val="single" w:color="000000" w:sz="4" w:space="0"/>
              <w:left w:val="single" w:color="000000" w:sz="4" w:space="0"/>
              <w:bottom w:val="single" w:color="000000" w:sz="4" w:space="0"/>
              <w:right w:val="single" w:color="000000" w:sz="4" w:space="0"/>
            </w:tcBorders>
            <w:noWrap w:val="0"/>
            <w:vAlign w:val="center"/>
          </w:tcPr>
          <w:p w14:paraId="41C1A535">
            <w:pPr>
              <w:spacing w:line="320" w:lineRule="exact"/>
              <w:jc w:val="center"/>
              <w:rPr>
                <w:rFonts w:ascii="宋体" w:hAnsi="宋体" w:cs="Calibri"/>
                <w:color w:val="auto"/>
                <w:highlight w:val="none"/>
                <w:shd w:val="clear" w:color="auto" w:fill="auto"/>
                <w:lang w:val="en-US" w:eastAsia="zh-CN"/>
              </w:rPr>
            </w:pPr>
            <w:r>
              <w:rPr>
                <w:rFonts w:hint="eastAsia" w:ascii="宋体" w:hAnsi="宋体" w:cs="宋体"/>
                <w:color w:val="auto"/>
                <w:sz w:val="22"/>
                <w:szCs w:val="20"/>
                <w:highlight w:val="none"/>
                <w:shd w:val="clear" w:color="auto" w:fill="auto"/>
              </w:rPr>
              <w:t>意外伤害保险</w:t>
            </w:r>
          </w:p>
        </w:tc>
        <w:tc>
          <w:tcPr>
            <w:tcW w:w="676" w:type="dxa"/>
            <w:tcBorders>
              <w:top w:val="single" w:color="000000" w:sz="4" w:space="0"/>
              <w:left w:val="single" w:color="000000" w:sz="4" w:space="0"/>
              <w:bottom w:val="single" w:color="000000" w:sz="4" w:space="0"/>
              <w:right w:val="single" w:color="000000" w:sz="4" w:space="0"/>
            </w:tcBorders>
            <w:noWrap w:val="0"/>
            <w:vAlign w:val="center"/>
          </w:tcPr>
          <w:p w14:paraId="38A7563A">
            <w:pPr>
              <w:spacing w:line="320" w:lineRule="exact"/>
              <w:jc w:val="center"/>
              <w:rPr>
                <w:rFonts w:ascii="宋体" w:hAnsi="宋体" w:cs="Calibri"/>
                <w:color w:val="auto"/>
                <w:highlight w:val="none"/>
                <w:shd w:val="clear" w:color="auto" w:fill="auto"/>
                <w:lang w:val="en-US" w:eastAsia="zh-CN"/>
              </w:rPr>
            </w:pP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6A29CD4B">
            <w:pPr>
              <w:spacing w:line="320" w:lineRule="exact"/>
              <w:jc w:val="center"/>
              <w:rPr>
                <w:rFonts w:ascii="宋体" w:hAnsi="宋体" w:cs="Calibri"/>
                <w:color w:val="auto"/>
                <w:highlight w:val="none"/>
                <w:shd w:val="clear" w:color="auto" w:fill="auto"/>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F01546A">
            <w:pPr>
              <w:spacing w:line="320" w:lineRule="exact"/>
              <w:jc w:val="center"/>
              <w:rPr>
                <w:rFonts w:ascii="宋体" w:hAnsi="宋体" w:cs="Calibri"/>
                <w:color w:val="auto"/>
                <w:highlight w:val="none"/>
                <w:shd w:val="clear" w:color="auto" w:fill="auto"/>
              </w:rPr>
            </w:pPr>
          </w:p>
        </w:tc>
        <w:tc>
          <w:tcPr>
            <w:tcW w:w="2621" w:type="dxa"/>
            <w:tcBorders>
              <w:top w:val="single" w:color="000000" w:sz="4" w:space="0"/>
              <w:left w:val="single" w:color="000000" w:sz="4" w:space="0"/>
              <w:bottom w:val="single" w:color="000000" w:sz="4" w:space="0"/>
              <w:right w:val="single" w:color="000000" w:sz="4" w:space="0"/>
            </w:tcBorders>
            <w:noWrap w:val="0"/>
            <w:vAlign w:val="center"/>
          </w:tcPr>
          <w:p w14:paraId="2858E2B4">
            <w:pPr>
              <w:spacing w:line="320" w:lineRule="exact"/>
              <w:jc w:val="both"/>
              <w:rPr>
                <w:rFonts w:ascii="宋体" w:hAnsi="宋体" w:cs="Calibri"/>
                <w:color w:val="auto"/>
                <w:highlight w:val="none"/>
                <w:shd w:val="clear" w:color="auto" w:fill="auto"/>
              </w:rPr>
            </w:pPr>
            <w:r>
              <w:rPr>
                <w:rFonts w:hint="eastAsia" w:ascii="宋体" w:hAnsi="宋体" w:cs="Calibri"/>
                <w:color w:val="auto"/>
                <w:sz w:val="22"/>
                <w:szCs w:val="20"/>
                <w:highlight w:val="none"/>
                <w:shd w:val="clear" w:color="auto" w:fill="auto"/>
              </w:rPr>
              <w:t>未缴纳社保的人员需缴纳不少于</w:t>
            </w:r>
            <w:r>
              <w:rPr>
                <w:rFonts w:hint="eastAsia" w:ascii="宋体" w:hAnsi="宋体" w:cs="Calibri"/>
                <w:color w:val="auto"/>
                <w:sz w:val="22"/>
                <w:szCs w:val="20"/>
                <w:highlight w:val="none"/>
                <w:shd w:val="clear" w:color="auto" w:fill="auto"/>
                <w:lang w:val="en-US" w:eastAsia="zh-CN"/>
              </w:rPr>
              <w:t>80</w:t>
            </w:r>
            <w:r>
              <w:rPr>
                <w:rFonts w:hint="eastAsia" w:ascii="宋体" w:hAnsi="宋体" w:cs="Calibri"/>
                <w:color w:val="auto"/>
                <w:sz w:val="22"/>
                <w:szCs w:val="20"/>
                <w:highlight w:val="none"/>
                <w:shd w:val="clear" w:color="auto" w:fill="auto"/>
              </w:rPr>
              <w:t>万元的人身意外伤害险</w:t>
            </w:r>
          </w:p>
        </w:tc>
      </w:tr>
      <w:tr w14:paraId="491B05E9">
        <w:tblPrEx>
          <w:tblCellMar>
            <w:top w:w="0" w:type="dxa"/>
            <w:left w:w="108" w:type="dxa"/>
            <w:bottom w:w="0" w:type="dxa"/>
            <w:right w:w="108" w:type="dxa"/>
          </w:tblCellMar>
        </w:tblPrEx>
        <w:trPr>
          <w:trHeight w:val="585" w:hRule="atLeast"/>
        </w:trPr>
        <w:tc>
          <w:tcPr>
            <w:tcW w:w="582" w:type="dxa"/>
            <w:tcBorders>
              <w:top w:val="single" w:color="000000" w:sz="4" w:space="0"/>
              <w:left w:val="single" w:color="000000" w:sz="4" w:space="0"/>
              <w:bottom w:val="single" w:color="000000" w:sz="4" w:space="0"/>
              <w:right w:val="single" w:color="000000" w:sz="4" w:space="0"/>
            </w:tcBorders>
            <w:noWrap w:val="0"/>
            <w:vAlign w:val="center"/>
          </w:tcPr>
          <w:p w14:paraId="765DBC73">
            <w:pPr>
              <w:widowControl/>
              <w:spacing w:line="320" w:lineRule="exact"/>
              <w:jc w:val="center"/>
              <w:rPr>
                <w:rFonts w:ascii="宋体" w:hAnsi="宋体" w:eastAsia="宋体" w:cs="Calibri"/>
                <w:color w:val="auto"/>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9</w:t>
            </w:r>
          </w:p>
        </w:tc>
        <w:tc>
          <w:tcPr>
            <w:tcW w:w="3257" w:type="dxa"/>
            <w:gridSpan w:val="2"/>
            <w:tcBorders>
              <w:top w:val="single" w:color="000000" w:sz="4" w:space="0"/>
              <w:left w:val="single" w:color="000000" w:sz="4" w:space="0"/>
              <w:bottom w:val="single" w:color="000000" w:sz="4" w:space="0"/>
              <w:right w:val="single" w:color="000000" w:sz="4" w:space="0"/>
            </w:tcBorders>
            <w:noWrap w:val="0"/>
            <w:vAlign w:val="center"/>
          </w:tcPr>
          <w:p w14:paraId="096697D8">
            <w:pPr>
              <w:spacing w:line="320" w:lineRule="exact"/>
              <w:jc w:val="center"/>
              <w:rPr>
                <w:rFonts w:ascii="宋体" w:hAnsi="宋体" w:eastAsia="宋体" w:cs="Calibri"/>
                <w:color w:val="auto"/>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服装费</w:t>
            </w:r>
          </w:p>
        </w:tc>
        <w:tc>
          <w:tcPr>
            <w:tcW w:w="676" w:type="dxa"/>
            <w:tcBorders>
              <w:top w:val="single" w:color="000000" w:sz="4" w:space="0"/>
              <w:left w:val="single" w:color="000000" w:sz="4" w:space="0"/>
              <w:bottom w:val="single" w:color="000000" w:sz="4" w:space="0"/>
              <w:right w:val="single" w:color="000000" w:sz="4" w:space="0"/>
            </w:tcBorders>
            <w:noWrap w:val="0"/>
            <w:vAlign w:val="center"/>
          </w:tcPr>
          <w:p w14:paraId="39761D3F">
            <w:pPr>
              <w:spacing w:line="320" w:lineRule="exact"/>
              <w:jc w:val="center"/>
              <w:rPr>
                <w:rFonts w:hint="default" w:ascii="宋体" w:hAnsi="宋体" w:eastAsia="宋体" w:cs="Calibri"/>
                <w:color w:val="auto"/>
                <w:highlight w:val="none"/>
                <w:shd w:val="clear" w:color="auto" w:fill="auto"/>
                <w:lang w:val="en-US" w:eastAsia="zh-CN"/>
              </w:rPr>
            </w:pPr>
            <w:r>
              <w:rPr>
                <w:rFonts w:hint="eastAsia" w:ascii="宋体" w:hAnsi="宋体" w:eastAsia="宋体" w:cs="Calibri"/>
                <w:color w:val="auto"/>
                <w:highlight w:val="none"/>
                <w:shd w:val="clear" w:color="auto" w:fill="auto"/>
                <w:lang w:val="en-US" w:eastAsia="zh-CN"/>
              </w:rPr>
              <w:t>39</w:t>
            </w:r>
          </w:p>
        </w:tc>
        <w:tc>
          <w:tcPr>
            <w:tcW w:w="1110" w:type="dxa"/>
            <w:tcBorders>
              <w:top w:val="single" w:color="000000" w:sz="4" w:space="0"/>
              <w:left w:val="single" w:color="000000" w:sz="4" w:space="0"/>
              <w:bottom w:val="single" w:color="000000" w:sz="4" w:space="0"/>
              <w:right w:val="single" w:color="000000" w:sz="4" w:space="0"/>
            </w:tcBorders>
            <w:noWrap w:val="0"/>
            <w:vAlign w:val="center"/>
          </w:tcPr>
          <w:p w14:paraId="572134A5">
            <w:pPr>
              <w:spacing w:line="320" w:lineRule="exact"/>
              <w:jc w:val="center"/>
              <w:rPr>
                <w:rFonts w:ascii="宋体" w:hAnsi="宋体" w:cs="Calibri"/>
                <w:color w:val="auto"/>
                <w:highlight w:val="none"/>
                <w:shd w:val="clear" w:color="auto" w:fill="auto"/>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26C719E">
            <w:pPr>
              <w:spacing w:line="320" w:lineRule="exact"/>
              <w:jc w:val="center"/>
              <w:rPr>
                <w:rFonts w:ascii="宋体" w:hAnsi="宋体" w:cs="Calibri"/>
                <w:color w:val="auto"/>
                <w:highlight w:val="none"/>
                <w:shd w:val="clear" w:color="auto" w:fill="auto"/>
              </w:rPr>
            </w:pPr>
          </w:p>
        </w:tc>
        <w:tc>
          <w:tcPr>
            <w:tcW w:w="2621" w:type="dxa"/>
            <w:tcBorders>
              <w:top w:val="single" w:color="000000" w:sz="4" w:space="0"/>
              <w:left w:val="single" w:color="000000" w:sz="4" w:space="0"/>
              <w:bottom w:val="single" w:color="000000" w:sz="4" w:space="0"/>
              <w:right w:val="single" w:color="000000" w:sz="4" w:space="0"/>
            </w:tcBorders>
            <w:noWrap w:val="0"/>
            <w:vAlign w:val="center"/>
          </w:tcPr>
          <w:p w14:paraId="2AA8D9B1">
            <w:pPr>
              <w:spacing w:line="320" w:lineRule="exact"/>
              <w:jc w:val="both"/>
              <w:rPr>
                <w:rFonts w:ascii="宋体" w:hAnsi="宋体" w:cs="Calibri"/>
                <w:color w:val="auto"/>
                <w:highlight w:val="none"/>
                <w:shd w:val="clear" w:color="auto" w:fill="auto"/>
              </w:rPr>
            </w:pPr>
            <w:r>
              <w:rPr>
                <w:rFonts w:hint="eastAsia" w:ascii="宋体" w:hAnsi="宋体" w:cs="Calibri"/>
                <w:color w:val="auto"/>
                <w:sz w:val="22"/>
                <w:szCs w:val="20"/>
                <w:highlight w:val="none"/>
                <w:shd w:val="clear" w:color="auto" w:fill="auto"/>
                <w:lang w:val="en-US" w:eastAsia="zh-CN"/>
              </w:rPr>
              <w:t>含夏装、春秋装各一套/人</w:t>
            </w:r>
          </w:p>
        </w:tc>
      </w:tr>
      <w:tr w14:paraId="244C44E6">
        <w:tblPrEx>
          <w:tblCellMar>
            <w:top w:w="0" w:type="dxa"/>
            <w:left w:w="108" w:type="dxa"/>
            <w:bottom w:w="0" w:type="dxa"/>
            <w:right w:w="108" w:type="dxa"/>
          </w:tblCellMar>
        </w:tblPrEx>
        <w:trPr>
          <w:trHeight w:val="585" w:hRule="atLeast"/>
        </w:trPr>
        <w:tc>
          <w:tcPr>
            <w:tcW w:w="582" w:type="dxa"/>
            <w:tcBorders>
              <w:top w:val="single" w:color="000000" w:sz="4" w:space="0"/>
              <w:left w:val="single" w:color="000000" w:sz="8" w:space="0"/>
              <w:bottom w:val="single" w:color="000000" w:sz="8" w:space="0"/>
              <w:right w:val="single" w:color="000000" w:sz="8" w:space="0"/>
            </w:tcBorders>
            <w:noWrap w:val="0"/>
            <w:vAlign w:val="center"/>
          </w:tcPr>
          <w:p w14:paraId="0337E28F">
            <w:pPr>
              <w:widowControl/>
              <w:spacing w:line="320" w:lineRule="exact"/>
              <w:jc w:val="center"/>
              <w:rPr>
                <w:rFonts w:ascii="宋体" w:hAnsi="宋体" w:eastAsia="宋体" w:cs="Calibri"/>
                <w:color w:val="auto"/>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10</w:t>
            </w:r>
          </w:p>
        </w:tc>
        <w:tc>
          <w:tcPr>
            <w:tcW w:w="3257" w:type="dxa"/>
            <w:gridSpan w:val="2"/>
            <w:tcBorders>
              <w:top w:val="single" w:color="000000" w:sz="4" w:space="0"/>
              <w:left w:val="nil"/>
              <w:bottom w:val="single" w:color="000000" w:sz="8" w:space="0"/>
              <w:right w:val="single" w:color="000000" w:sz="8" w:space="0"/>
            </w:tcBorders>
            <w:noWrap w:val="0"/>
            <w:vAlign w:val="center"/>
          </w:tcPr>
          <w:p w14:paraId="07C8CD22">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管理费</w:t>
            </w:r>
          </w:p>
        </w:tc>
        <w:tc>
          <w:tcPr>
            <w:tcW w:w="676" w:type="dxa"/>
            <w:tcBorders>
              <w:top w:val="single" w:color="000000" w:sz="4" w:space="0"/>
              <w:left w:val="single" w:color="000000" w:sz="4" w:space="0"/>
              <w:bottom w:val="single" w:color="000000" w:sz="4" w:space="0"/>
              <w:right w:val="single" w:color="000000" w:sz="4" w:space="0"/>
            </w:tcBorders>
            <w:noWrap w:val="0"/>
            <w:vAlign w:val="center"/>
          </w:tcPr>
          <w:p w14:paraId="6E4C1397">
            <w:pPr>
              <w:widowControl/>
              <w:spacing w:line="320" w:lineRule="exact"/>
              <w:jc w:val="center"/>
              <w:rPr>
                <w:rFonts w:ascii="宋体" w:hAnsi="宋体" w:cs="Calibri"/>
                <w:color w:val="auto"/>
                <w:highlight w:val="none"/>
                <w:shd w:val="clear" w:color="auto" w:fill="auto"/>
              </w:rPr>
            </w:pPr>
          </w:p>
        </w:tc>
        <w:tc>
          <w:tcPr>
            <w:tcW w:w="1110" w:type="dxa"/>
            <w:tcBorders>
              <w:top w:val="single" w:color="000000" w:sz="4" w:space="0"/>
              <w:left w:val="nil"/>
              <w:bottom w:val="single" w:color="000000" w:sz="4" w:space="0"/>
              <w:right w:val="single" w:color="000000" w:sz="4" w:space="0"/>
            </w:tcBorders>
            <w:noWrap w:val="0"/>
            <w:vAlign w:val="center"/>
          </w:tcPr>
          <w:p w14:paraId="7F0A6C5D">
            <w:pPr>
              <w:widowControl/>
              <w:spacing w:line="320" w:lineRule="exact"/>
              <w:jc w:val="center"/>
              <w:rPr>
                <w:rFonts w:ascii="宋体" w:hAnsi="宋体" w:cs="Calibri"/>
                <w:color w:val="auto"/>
                <w:highlight w:val="none"/>
                <w:shd w:val="clear" w:color="auto" w:fill="auto"/>
              </w:rPr>
            </w:pPr>
          </w:p>
        </w:tc>
        <w:tc>
          <w:tcPr>
            <w:tcW w:w="1125" w:type="dxa"/>
            <w:tcBorders>
              <w:top w:val="single" w:color="000000" w:sz="4" w:space="0"/>
              <w:left w:val="nil"/>
              <w:bottom w:val="single" w:color="000000" w:sz="4" w:space="0"/>
              <w:right w:val="single" w:color="000000" w:sz="4" w:space="0"/>
            </w:tcBorders>
            <w:noWrap w:val="0"/>
            <w:vAlign w:val="center"/>
          </w:tcPr>
          <w:p w14:paraId="1D5CF805">
            <w:pPr>
              <w:widowControl/>
              <w:spacing w:line="320" w:lineRule="exact"/>
              <w:jc w:val="center"/>
              <w:rPr>
                <w:rFonts w:ascii="宋体" w:hAnsi="宋体" w:cs="Calibri"/>
                <w:color w:val="auto"/>
                <w:highlight w:val="none"/>
                <w:shd w:val="clear" w:color="auto" w:fill="auto"/>
              </w:rPr>
            </w:pPr>
          </w:p>
        </w:tc>
        <w:tc>
          <w:tcPr>
            <w:tcW w:w="2621" w:type="dxa"/>
            <w:tcBorders>
              <w:top w:val="single" w:color="000000" w:sz="4" w:space="0"/>
              <w:left w:val="nil"/>
              <w:bottom w:val="single" w:color="000000" w:sz="8" w:space="0"/>
              <w:right w:val="single" w:color="000000" w:sz="8" w:space="0"/>
            </w:tcBorders>
            <w:noWrap w:val="0"/>
            <w:vAlign w:val="center"/>
          </w:tcPr>
          <w:p w14:paraId="18C97388">
            <w:pPr>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按本项目所需进行测算。</w:t>
            </w:r>
          </w:p>
        </w:tc>
      </w:tr>
      <w:tr w14:paraId="7EB35D53">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8" w:space="0"/>
              <w:right w:val="single" w:color="000000" w:sz="8" w:space="0"/>
            </w:tcBorders>
            <w:noWrap w:val="0"/>
            <w:vAlign w:val="center"/>
          </w:tcPr>
          <w:p w14:paraId="6137E9E1">
            <w:pPr>
              <w:widowControl/>
              <w:spacing w:line="320" w:lineRule="exact"/>
              <w:jc w:val="center"/>
              <w:rPr>
                <w:rFonts w:ascii="宋体" w:hAnsi="宋体" w:eastAsia="宋体" w:cs="Calibri"/>
                <w:color w:val="auto"/>
                <w:highlight w:val="none"/>
                <w:shd w:val="clear" w:color="auto" w:fill="auto"/>
                <w:lang w:val="en-US" w:eastAsia="zh-CN"/>
              </w:rPr>
            </w:pPr>
            <w:r>
              <w:rPr>
                <w:rFonts w:ascii="宋体" w:hAnsi="宋体" w:cs="宋体"/>
                <w:color w:val="auto"/>
                <w:sz w:val="22"/>
                <w:szCs w:val="20"/>
                <w:highlight w:val="none"/>
                <w:shd w:val="clear" w:color="auto" w:fill="auto"/>
              </w:rPr>
              <w:t>1</w:t>
            </w:r>
            <w:r>
              <w:rPr>
                <w:rFonts w:hint="eastAsia" w:ascii="宋体" w:hAnsi="宋体" w:cs="宋体"/>
                <w:color w:val="auto"/>
                <w:sz w:val="22"/>
                <w:szCs w:val="20"/>
                <w:highlight w:val="none"/>
                <w:shd w:val="clear" w:color="auto" w:fill="auto"/>
                <w:lang w:val="en-US" w:eastAsia="zh-CN"/>
              </w:rPr>
              <w:t>1</w:t>
            </w:r>
          </w:p>
        </w:tc>
        <w:tc>
          <w:tcPr>
            <w:tcW w:w="3257" w:type="dxa"/>
            <w:gridSpan w:val="2"/>
            <w:tcBorders>
              <w:top w:val="single" w:color="000000" w:sz="8" w:space="0"/>
              <w:left w:val="nil"/>
              <w:bottom w:val="single" w:color="000000" w:sz="8" w:space="0"/>
              <w:right w:val="single" w:color="000000" w:sz="8" w:space="0"/>
            </w:tcBorders>
            <w:noWrap w:val="0"/>
            <w:vAlign w:val="center"/>
          </w:tcPr>
          <w:p w14:paraId="5563F49E">
            <w:pPr>
              <w:widowControl/>
              <w:spacing w:line="320" w:lineRule="exact"/>
              <w:jc w:val="center"/>
              <w:rPr>
                <w:rFonts w:ascii="宋体" w:hAnsi="宋体" w:cs="Calibri"/>
                <w:color w:val="auto"/>
                <w:highlight w:val="none"/>
                <w:shd w:val="clear" w:color="auto" w:fill="auto"/>
              </w:rPr>
            </w:pPr>
            <w:r>
              <w:rPr>
                <w:rFonts w:hint="eastAsia" w:ascii="宋体" w:hAnsi="宋体" w:cs="宋体"/>
                <w:color w:val="auto"/>
                <w:sz w:val="22"/>
                <w:szCs w:val="20"/>
                <w:highlight w:val="none"/>
                <w:shd w:val="clear" w:color="auto" w:fill="auto"/>
              </w:rPr>
              <w:t>法定税费</w:t>
            </w:r>
          </w:p>
        </w:tc>
        <w:tc>
          <w:tcPr>
            <w:tcW w:w="676" w:type="dxa"/>
            <w:tcBorders>
              <w:top w:val="nil"/>
              <w:left w:val="single" w:color="000000" w:sz="4" w:space="0"/>
              <w:bottom w:val="single" w:color="000000" w:sz="4" w:space="0"/>
              <w:right w:val="single" w:color="000000" w:sz="4" w:space="0"/>
            </w:tcBorders>
            <w:noWrap w:val="0"/>
            <w:vAlign w:val="center"/>
          </w:tcPr>
          <w:p w14:paraId="19A80AAE">
            <w:pPr>
              <w:spacing w:line="320" w:lineRule="exact"/>
              <w:jc w:val="center"/>
              <w:rPr>
                <w:rFonts w:ascii="宋体" w:hAnsi="宋体" w:cs="Calibri"/>
                <w:color w:val="auto"/>
                <w:highlight w:val="none"/>
                <w:shd w:val="clear" w:color="auto" w:fill="auto"/>
              </w:rPr>
            </w:pPr>
          </w:p>
        </w:tc>
        <w:tc>
          <w:tcPr>
            <w:tcW w:w="1110" w:type="dxa"/>
            <w:tcBorders>
              <w:top w:val="nil"/>
              <w:left w:val="nil"/>
              <w:bottom w:val="single" w:color="000000" w:sz="4" w:space="0"/>
              <w:right w:val="single" w:color="000000" w:sz="4" w:space="0"/>
            </w:tcBorders>
            <w:noWrap w:val="0"/>
            <w:vAlign w:val="center"/>
          </w:tcPr>
          <w:p w14:paraId="362037A9">
            <w:pPr>
              <w:widowControl/>
              <w:spacing w:line="320" w:lineRule="exact"/>
              <w:jc w:val="center"/>
              <w:rPr>
                <w:rFonts w:ascii="宋体" w:hAnsi="宋体" w:cs="Calibri"/>
                <w:color w:val="auto"/>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4A7D7182">
            <w:pPr>
              <w:widowControl/>
              <w:spacing w:line="320" w:lineRule="exact"/>
              <w:jc w:val="center"/>
              <w:rPr>
                <w:rFonts w:ascii="宋体" w:hAnsi="宋体" w:cs="Calibri"/>
                <w:color w:val="auto"/>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3E644E5F">
            <w:pPr>
              <w:widowControl/>
              <w:spacing w:line="320" w:lineRule="exact"/>
              <w:jc w:val="center"/>
              <w:rPr>
                <w:rFonts w:ascii="宋体" w:hAnsi="宋体" w:cs="Calibri"/>
                <w:color w:val="auto"/>
                <w:highlight w:val="none"/>
                <w:shd w:val="clear" w:color="auto" w:fill="auto"/>
              </w:rPr>
            </w:pPr>
            <w:r>
              <w:rPr>
                <w:rFonts w:hint="eastAsia" w:ascii="宋体" w:hAnsi="宋体" w:cs="Calibri"/>
                <w:color w:val="auto"/>
                <w:sz w:val="22"/>
                <w:szCs w:val="20"/>
                <w:highlight w:val="none"/>
                <w:shd w:val="clear" w:color="auto" w:fill="auto"/>
              </w:rPr>
              <w:t>按国家相关政策</w:t>
            </w:r>
          </w:p>
        </w:tc>
      </w:tr>
      <w:tr w14:paraId="76EF50CB">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8" w:space="0"/>
              <w:right w:val="single" w:color="000000" w:sz="8" w:space="0"/>
            </w:tcBorders>
            <w:noWrap w:val="0"/>
            <w:vAlign w:val="center"/>
          </w:tcPr>
          <w:p w14:paraId="69B6E5D2">
            <w:pPr>
              <w:widowControl/>
              <w:spacing w:line="320" w:lineRule="exact"/>
              <w:jc w:val="center"/>
              <w:rPr>
                <w:rFonts w:ascii="宋体" w:hAnsi="宋体" w:eastAsia="宋体" w:cs="宋体"/>
                <w:color w:val="auto"/>
                <w:sz w:val="22"/>
                <w:szCs w:val="20"/>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12</w:t>
            </w:r>
          </w:p>
        </w:tc>
        <w:tc>
          <w:tcPr>
            <w:tcW w:w="3257" w:type="dxa"/>
            <w:gridSpan w:val="2"/>
            <w:tcBorders>
              <w:top w:val="single" w:color="000000" w:sz="8" w:space="0"/>
              <w:left w:val="nil"/>
              <w:bottom w:val="single" w:color="000000" w:sz="8" w:space="0"/>
              <w:right w:val="single" w:color="000000" w:sz="8" w:space="0"/>
            </w:tcBorders>
            <w:noWrap w:val="0"/>
            <w:vAlign w:val="center"/>
          </w:tcPr>
          <w:p w14:paraId="20771681">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其他费用</w:t>
            </w:r>
          </w:p>
          <w:p w14:paraId="29BAEB44">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（投标人可自行添加）</w:t>
            </w:r>
          </w:p>
        </w:tc>
        <w:tc>
          <w:tcPr>
            <w:tcW w:w="676" w:type="dxa"/>
            <w:tcBorders>
              <w:top w:val="nil"/>
              <w:left w:val="single" w:color="000000" w:sz="4" w:space="0"/>
              <w:bottom w:val="single" w:color="000000" w:sz="4" w:space="0"/>
              <w:right w:val="single" w:color="000000" w:sz="4" w:space="0"/>
            </w:tcBorders>
            <w:noWrap w:val="0"/>
            <w:vAlign w:val="center"/>
          </w:tcPr>
          <w:p w14:paraId="2F6B1DEC">
            <w:pPr>
              <w:widowControl/>
              <w:spacing w:line="320" w:lineRule="exact"/>
              <w:jc w:val="center"/>
              <w:rPr>
                <w:rFonts w:hint="eastAsia" w:ascii="宋体" w:hAnsi="宋体" w:cs="宋体"/>
                <w:color w:val="auto"/>
                <w:sz w:val="22"/>
                <w:szCs w:val="20"/>
                <w:highlight w:val="none"/>
                <w:shd w:val="clear" w:color="auto" w:fill="auto"/>
              </w:rPr>
            </w:pPr>
          </w:p>
        </w:tc>
        <w:tc>
          <w:tcPr>
            <w:tcW w:w="1110" w:type="dxa"/>
            <w:tcBorders>
              <w:top w:val="nil"/>
              <w:left w:val="nil"/>
              <w:bottom w:val="single" w:color="000000" w:sz="4" w:space="0"/>
              <w:right w:val="single" w:color="000000" w:sz="4" w:space="0"/>
            </w:tcBorders>
            <w:noWrap w:val="0"/>
            <w:vAlign w:val="center"/>
          </w:tcPr>
          <w:p w14:paraId="4B642F1C">
            <w:pPr>
              <w:widowControl/>
              <w:spacing w:line="320" w:lineRule="exact"/>
              <w:jc w:val="center"/>
              <w:rPr>
                <w:rFonts w:hint="eastAsia" w:ascii="宋体" w:hAnsi="宋体" w:cs="宋体"/>
                <w:color w:val="auto"/>
                <w:sz w:val="22"/>
                <w:szCs w:val="20"/>
                <w:highlight w:val="none"/>
                <w:shd w:val="clear" w:color="auto" w:fill="auto"/>
              </w:rPr>
            </w:pPr>
          </w:p>
        </w:tc>
        <w:tc>
          <w:tcPr>
            <w:tcW w:w="1125" w:type="dxa"/>
            <w:tcBorders>
              <w:top w:val="nil"/>
              <w:left w:val="nil"/>
              <w:bottom w:val="single" w:color="000000" w:sz="4" w:space="0"/>
              <w:right w:val="single" w:color="000000" w:sz="4" w:space="0"/>
            </w:tcBorders>
            <w:noWrap w:val="0"/>
            <w:vAlign w:val="center"/>
          </w:tcPr>
          <w:p w14:paraId="30DBF749">
            <w:pPr>
              <w:widowControl/>
              <w:spacing w:line="320" w:lineRule="exact"/>
              <w:jc w:val="center"/>
              <w:rPr>
                <w:rFonts w:hint="eastAsia" w:ascii="宋体" w:hAnsi="宋体" w:cs="宋体"/>
                <w:color w:val="auto"/>
                <w:sz w:val="22"/>
                <w:szCs w:val="20"/>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1154B2F6">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考虑本项目服务工作所涉及到的其他费用</w:t>
            </w:r>
          </w:p>
        </w:tc>
      </w:tr>
      <w:tr w14:paraId="0EF77CE2">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8" w:space="0"/>
              <w:right w:val="single" w:color="000000" w:sz="8" w:space="0"/>
            </w:tcBorders>
            <w:noWrap w:val="0"/>
            <w:vAlign w:val="center"/>
          </w:tcPr>
          <w:p w14:paraId="7FE9B7E0">
            <w:pPr>
              <w:widowControl/>
              <w:spacing w:line="320" w:lineRule="exact"/>
              <w:jc w:val="center"/>
              <w:rPr>
                <w:rFonts w:ascii="宋体" w:hAnsi="宋体" w:eastAsia="宋体" w:cs="宋体"/>
                <w:color w:val="auto"/>
                <w:sz w:val="22"/>
                <w:szCs w:val="20"/>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13</w:t>
            </w:r>
          </w:p>
        </w:tc>
        <w:tc>
          <w:tcPr>
            <w:tcW w:w="3257" w:type="dxa"/>
            <w:gridSpan w:val="2"/>
            <w:tcBorders>
              <w:top w:val="single" w:color="000000" w:sz="8" w:space="0"/>
              <w:left w:val="nil"/>
              <w:bottom w:val="single" w:color="000000" w:sz="8" w:space="0"/>
              <w:right w:val="single" w:color="000000" w:sz="8" w:space="0"/>
            </w:tcBorders>
            <w:noWrap w:val="0"/>
            <w:vAlign w:val="center"/>
          </w:tcPr>
          <w:p w14:paraId="7B796FE0">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rPr>
              <w:t>一年总价</w:t>
            </w:r>
          </w:p>
        </w:tc>
        <w:tc>
          <w:tcPr>
            <w:tcW w:w="2911" w:type="dxa"/>
            <w:gridSpan w:val="3"/>
            <w:tcBorders>
              <w:top w:val="nil"/>
              <w:left w:val="single" w:color="000000" w:sz="4" w:space="0"/>
              <w:bottom w:val="single" w:color="000000" w:sz="4" w:space="0"/>
              <w:right w:val="single" w:color="000000" w:sz="4" w:space="0"/>
            </w:tcBorders>
            <w:noWrap w:val="0"/>
            <w:vAlign w:val="center"/>
          </w:tcPr>
          <w:p w14:paraId="4C2B26F2">
            <w:pPr>
              <w:widowControl/>
              <w:spacing w:line="320" w:lineRule="exact"/>
              <w:jc w:val="center"/>
              <w:rPr>
                <w:rFonts w:hint="eastAsia" w:ascii="宋体" w:hAnsi="宋体" w:cs="宋体"/>
                <w:color w:val="auto"/>
                <w:sz w:val="22"/>
                <w:szCs w:val="20"/>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4380A6A2">
            <w:pPr>
              <w:widowControl/>
              <w:spacing w:line="320" w:lineRule="exact"/>
              <w:jc w:val="center"/>
              <w:rPr>
                <w:rFonts w:hint="eastAsia" w:ascii="宋体" w:hAnsi="宋体" w:cs="宋体"/>
                <w:color w:val="auto"/>
                <w:sz w:val="22"/>
                <w:szCs w:val="20"/>
                <w:highlight w:val="none"/>
                <w:shd w:val="clear" w:color="auto" w:fill="auto"/>
              </w:rPr>
            </w:pPr>
          </w:p>
        </w:tc>
      </w:tr>
      <w:tr w14:paraId="0448AE74">
        <w:tblPrEx>
          <w:tblCellMar>
            <w:top w:w="0" w:type="dxa"/>
            <w:left w:w="108" w:type="dxa"/>
            <w:bottom w:w="0" w:type="dxa"/>
            <w:right w:w="108" w:type="dxa"/>
          </w:tblCellMar>
        </w:tblPrEx>
        <w:trPr>
          <w:trHeight w:val="585" w:hRule="atLeast"/>
        </w:trPr>
        <w:tc>
          <w:tcPr>
            <w:tcW w:w="582" w:type="dxa"/>
            <w:tcBorders>
              <w:top w:val="nil"/>
              <w:left w:val="single" w:color="000000" w:sz="8" w:space="0"/>
              <w:bottom w:val="single" w:color="000000" w:sz="8" w:space="0"/>
              <w:right w:val="single" w:color="000000" w:sz="8" w:space="0"/>
            </w:tcBorders>
            <w:noWrap w:val="0"/>
            <w:vAlign w:val="center"/>
          </w:tcPr>
          <w:p w14:paraId="7872D9AA">
            <w:pPr>
              <w:widowControl/>
              <w:spacing w:line="320" w:lineRule="exact"/>
              <w:jc w:val="center"/>
              <w:rPr>
                <w:rFonts w:ascii="宋体" w:hAnsi="宋体" w:cs="宋体"/>
                <w:color w:val="auto"/>
                <w:sz w:val="22"/>
                <w:szCs w:val="20"/>
                <w:highlight w:val="none"/>
                <w:shd w:val="clear" w:color="auto" w:fill="auto"/>
                <w:lang w:val="en-US" w:eastAsia="zh-CN"/>
              </w:rPr>
            </w:pPr>
            <w:r>
              <w:rPr>
                <w:rFonts w:hint="eastAsia" w:ascii="宋体" w:hAnsi="宋体" w:cs="宋体"/>
                <w:color w:val="auto"/>
                <w:sz w:val="22"/>
                <w:szCs w:val="20"/>
                <w:highlight w:val="none"/>
                <w:shd w:val="clear" w:color="auto" w:fill="auto"/>
                <w:lang w:val="en-US" w:eastAsia="zh-CN"/>
              </w:rPr>
              <w:t>14</w:t>
            </w:r>
          </w:p>
        </w:tc>
        <w:tc>
          <w:tcPr>
            <w:tcW w:w="3257" w:type="dxa"/>
            <w:gridSpan w:val="2"/>
            <w:tcBorders>
              <w:top w:val="single" w:color="000000" w:sz="8" w:space="0"/>
              <w:left w:val="nil"/>
              <w:bottom w:val="single" w:color="000000" w:sz="8" w:space="0"/>
              <w:right w:val="single" w:color="000000" w:sz="8" w:space="0"/>
            </w:tcBorders>
            <w:noWrap w:val="0"/>
            <w:vAlign w:val="center"/>
          </w:tcPr>
          <w:p w14:paraId="40B16177">
            <w:pPr>
              <w:widowControl/>
              <w:spacing w:line="320" w:lineRule="exact"/>
              <w:jc w:val="center"/>
              <w:rPr>
                <w:rFonts w:hint="eastAsia" w:ascii="宋体" w:hAnsi="宋体" w:cs="宋体"/>
                <w:color w:val="auto"/>
                <w:sz w:val="22"/>
                <w:szCs w:val="20"/>
                <w:highlight w:val="none"/>
                <w:shd w:val="clear" w:color="auto" w:fill="auto"/>
              </w:rPr>
            </w:pPr>
            <w:r>
              <w:rPr>
                <w:rFonts w:hint="eastAsia" w:ascii="宋体" w:hAnsi="宋体" w:cs="宋体"/>
                <w:color w:val="auto"/>
                <w:sz w:val="22"/>
                <w:szCs w:val="20"/>
                <w:highlight w:val="none"/>
                <w:shd w:val="clear" w:color="auto" w:fill="auto"/>
                <w:lang w:val="en-US" w:eastAsia="zh-CN"/>
              </w:rPr>
              <w:t>三</w:t>
            </w:r>
            <w:r>
              <w:rPr>
                <w:rFonts w:hint="eastAsia" w:ascii="宋体" w:hAnsi="宋体" w:cs="宋体"/>
                <w:color w:val="auto"/>
                <w:sz w:val="22"/>
                <w:szCs w:val="20"/>
                <w:highlight w:val="none"/>
                <w:shd w:val="clear" w:color="auto" w:fill="auto"/>
              </w:rPr>
              <w:t>年总价</w:t>
            </w:r>
          </w:p>
        </w:tc>
        <w:tc>
          <w:tcPr>
            <w:tcW w:w="2911" w:type="dxa"/>
            <w:gridSpan w:val="3"/>
            <w:tcBorders>
              <w:top w:val="nil"/>
              <w:left w:val="single" w:color="000000" w:sz="4" w:space="0"/>
              <w:bottom w:val="single" w:color="000000" w:sz="4" w:space="0"/>
              <w:right w:val="single" w:color="000000" w:sz="4" w:space="0"/>
            </w:tcBorders>
            <w:noWrap w:val="0"/>
            <w:vAlign w:val="center"/>
          </w:tcPr>
          <w:p w14:paraId="6526EB1D">
            <w:pPr>
              <w:widowControl/>
              <w:spacing w:line="320" w:lineRule="exact"/>
              <w:jc w:val="center"/>
              <w:rPr>
                <w:rFonts w:hint="eastAsia" w:ascii="宋体" w:hAnsi="宋体" w:cs="宋体"/>
                <w:color w:val="auto"/>
                <w:sz w:val="22"/>
                <w:szCs w:val="20"/>
                <w:highlight w:val="none"/>
                <w:shd w:val="clear" w:color="auto" w:fill="auto"/>
              </w:rPr>
            </w:pPr>
          </w:p>
        </w:tc>
        <w:tc>
          <w:tcPr>
            <w:tcW w:w="2621" w:type="dxa"/>
            <w:tcBorders>
              <w:top w:val="nil"/>
              <w:left w:val="nil"/>
              <w:bottom w:val="single" w:color="000000" w:sz="8" w:space="0"/>
              <w:right w:val="single" w:color="000000" w:sz="8" w:space="0"/>
            </w:tcBorders>
            <w:noWrap w:val="0"/>
            <w:vAlign w:val="center"/>
          </w:tcPr>
          <w:p w14:paraId="6BA2F0F9">
            <w:pPr>
              <w:widowControl/>
              <w:spacing w:line="320" w:lineRule="exact"/>
              <w:jc w:val="center"/>
              <w:rPr>
                <w:rFonts w:hint="eastAsia" w:ascii="宋体" w:hAnsi="宋体" w:cs="宋体"/>
                <w:color w:val="auto"/>
                <w:sz w:val="22"/>
                <w:szCs w:val="20"/>
                <w:highlight w:val="none"/>
                <w:shd w:val="clear" w:color="auto" w:fill="auto"/>
              </w:rPr>
            </w:pPr>
          </w:p>
        </w:tc>
      </w:tr>
      <w:tr w14:paraId="498F0CD6">
        <w:tblPrEx>
          <w:tblCellMar>
            <w:top w:w="0" w:type="dxa"/>
            <w:left w:w="108" w:type="dxa"/>
            <w:bottom w:w="0" w:type="dxa"/>
            <w:right w:w="108" w:type="dxa"/>
          </w:tblCellMar>
        </w:tblPrEx>
        <w:trPr>
          <w:trHeight w:val="2610" w:hRule="atLeast"/>
        </w:trPr>
        <w:tc>
          <w:tcPr>
            <w:tcW w:w="9371" w:type="dxa"/>
            <w:gridSpan w:val="7"/>
            <w:tcBorders>
              <w:top w:val="single" w:color="000000" w:sz="4" w:space="0"/>
              <w:left w:val="nil"/>
              <w:bottom w:val="nil"/>
              <w:right w:val="nil"/>
            </w:tcBorders>
            <w:noWrap w:val="0"/>
            <w:vAlign w:val="center"/>
          </w:tcPr>
          <w:p w14:paraId="35CA8E82">
            <w:pPr>
              <w:widowControl/>
              <w:spacing w:line="360" w:lineRule="auto"/>
              <w:jc w:val="left"/>
              <w:rPr>
                <w:rFonts w:ascii="宋体" w:hAnsi="宋体" w:cs="Calibri"/>
                <w:b/>
                <w:bCs/>
                <w:i/>
                <w:iCs/>
                <w:color w:val="auto"/>
                <w:sz w:val="24"/>
                <w:szCs w:val="24"/>
                <w:highlight w:val="none"/>
                <w:u w:val="single"/>
              </w:rPr>
            </w:pPr>
          </w:p>
          <w:p w14:paraId="1EEC49E1">
            <w:pPr>
              <w:keepNext w:val="0"/>
              <w:keepLines w:val="0"/>
              <w:pageBreakBefore w:val="0"/>
              <w:widowControl w:val="0"/>
              <w:numPr>
                <w:ilvl w:val="0"/>
                <w:numId w:val="0"/>
              </w:numPr>
              <w:snapToGrid/>
              <w:spacing w:line="440" w:lineRule="exact"/>
              <w:jc w:val="left"/>
              <w:outlineLvl w:val="9"/>
              <w:rPr>
                <w:rFonts w:hint="eastAsia" w:ascii="宋体" w:hAnsi="宋体" w:eastAsia="宋体" w:cs="宋体"/>
                <w:b/>
                <w:i/>
                <w:iCs/>
                <w:color w:val="auto"/>
                <w:sz w:val="24"/>
                <w:highlight w:val="none"/>
                <w:u w:val="single"/>
              </w:rPr>
            </w:pPr>
            <w:r>
              <w:rPr>
                <w:rFonts w:hint="eastAsia" w:ascii="宋体" w:hAnsi="宋体" w:eastAsia="宋体" w:cs="宋体"/>
                <w:b/>
                <w:i/>
                <w:iCs/>
                <w:color w:val="auto"/>
                <w:sz w:val="24"/>
                <w:highlight w:val="none"/>
                <w:u w:val="single"/>
              </w:rPr>
              <w:t>1、</w:t>
            </w:r>
            <w:r>
              <w:rPr>
                <w:rFonts w:hint="eastAsia" w:ascii="宋体" w:hAnsi="宋体" w:eastAsia="宋体" w:cs="宋体"/>
                <w:b/>
                <w:bCs w:val="0"/>
                <w:i/>
                <w:iCs/>
                <w:color w:val="auto"/>
                <w:sz w:val="24"/>
                <w:szCs w:val="21"/>
                <w:highlight w:val="none"/>
                <w:u w:val="single"/>
              </w:rPr>
              <w:t>投标报价时，人员工资低于</w:t>
            </w:r>
            <w:r>
              <w:rPr>
                <w:rFonts w:hint="eastAsia" w:ascii="宋体" w:hAnsi="宋体" w:eastAsia="宋体" w:cs="宋体"/>
                <w:b/>
                <w:bCs w:val="0"/>
                <w:i/>
                <w:iCs/>
                <w:color w:val="auto"/>
                <w:sz w:val="24"/>
                <w:szCs w:val="21"/>
                <w:highlight w:val="none"/>
                <w:u w:val="single"/>
                <w:lang w:val="en-US" w:eastAsia="zh-CN"/>
              </w:rPr>
              <w:t>仪征</w:t>
            </w:r>
            <w:r>
              <w:rPr>
                <w:rFonts w:hint="eastAsia" w:ascii="宋体" w:hAnsi="宋体" w:eastAsia="宋体" w:cs="宋体"/>
                <w:b/>
                <w:bCs w:val="0"/>
                <w:i/>
                <w:iCs/>
                <w:color w:val="auto"/>
                <w:sz w:val="24"/>
                <w:szCs w:val="21"/>
                <w:highlight w:val="none"/>
                <w:u w:val="single"/>
              </w:rPr>
              <w:t>市区最低工资标准及未依法测算缴纳社会保险、医疗保险、住房公积金、税金的作无效报价。</w:t>
            </w:r>
          </w:p>
          <w:p w14:paraId="47DE46E6">
            <w:pPr>
              <w:keepNext w:val="0"/>
              <w:keepLines w:val="0"/>
              <w:pageBreakBefore w:val="0"/>
              <w:widowControl w:val="0"/>
              <w:spacing w:line="440" w:lineRule="exact"/>
              <w:outlineLvl w:val="9"/>
              <w:rPr>
                <w:rFonts w:hint="eastAsia" w:ascii="宋体" w:hAnsi="宋体" w:cs="宋体"/>
                <w:b/>
                <w:i/>
                <w:iCs/>
                <w:color w:val="auto"/>
                <w:sz w:val="24"/>
                <w:highlight w:val="none"/>
                <w:u w:val="single"/>
              </w:rPr>
            </w:pPr>
            <w:r>
              <w:rPr>
                <w:rFonts w:hint="eastAsia" w:ascii="宋体" w:hAnsi="宋体" w:cs="宋体"/>
                <w:b/>
                <w:i/>
                <w:iCs/>
                <w:color w:val="auto"/>
                <w:sz w:val="24"/>
                <w:highlight w:val="none"/>
                <w:u w:val="single"/>
                <w:lang w:val="en-US" w:eastAsia="zh-CN"/>
              </w:rPr>
              <w:t>2、</w:t>
            </w:r>
            <w:r>
              <w:rPr>
                <w:rFonts w:hint="eastAsia" w:ascii="宋体" w:hAnsi="宋体" w:cs="宋体"/>
                <w:b/>
                <w:i/>
                <w:iCs/>
                <w:color w:val="auto"/>
                <w:sz w:val="24"/>
                <w:highlight w:val="none"/>
                <w:u w:val="single"/>
              </w:rPr>
              <w:t>分项报价表中已注明的“数量”这一列的具体数字只可适当增加但不可减少。</w:t>
            </w:r>
          </w:p>
          <w:p w14:paraId="499B068A">
            <w:pPr>
              <w:keepNext w:val="0"/>
              <w:keepLines w:val="0"/>
              <w:pageBreakBefore w:val="0"/>
              <w:widowControl w:val="0"/>
              <w:spacing w:line="440" w:lineRule="exact"/>
              <w:outlineLvl w:val="9"/>
              <w:rPr>
                <w:rFonts w:hint="eastAsia" w:ascii="宋体" w:hAnsi="宋体" w:cs="宋体"/>
                <w:b/>
                <w:i/>
                <w:iCs/>
                <w:color w:val="auto"/>
                <w:sz w:val="24"/>
                <w:highlight w:val="none"/>
                <w:u w:val="single"/>
              </w:rPr>
            </w:pPr>
            <w:r>
              <w:rPr>
                <w:rFonts w:hint="eastAsia" w:ascii="宋体" w:hAnsi="宋体" w:cs="宋体"/>
                <w:b/>
                <w:i/>
                <w:iCs/>
                <w:color w:val="auto"/>
                <w:sz w:val="24"/>
                <w:highlight w:val="none"/>
                <w:u w:val="single"/>
                <w:lang w:val="en-US" w:eastAsia="zh-CN"/>
              </w:rPr>
              <w:t>3</w:t>
            </w:r>
            <w:r>
              <w:rPr>
                <w:rFonts w:hint="eastAsia" w:ascii="宋体" w:hAnsi="宋体" w:cs="宋体"/>
                <w:b/>
                <w:i/>
                <w:iCs/>
                <w:color w:val="auto"/>
                <w:sz w:val="24"/>
                <w:highlight w:val="none"/>
                <w:u w:val="single"/>
              </w:rPr>
              <w:t>、分项报价表中（除其他费用可自行添加外）列明的项目不可修改。</w:t>
            </w:r>
          </w:p>
          <w:p w14:paraId="775EA08E">
            <w:pPr>
              <w:keepNext w:val="0"/>
              <w:keepLines w:val="0"/>
              <w:pageBreakBefore w:val="0"/>
              <w:widowControl w:val="0"/>
              <w:spacing w:line="440" w:lineRule="exact"/>
              <w:outlineLvl w:val="9"/>
              <w:rPr>
                <w:rFonts w:hint="eastAsia" w:ascii="宋体" w:hAnsi="宋体" w:cs="宋体"/>
                <w:b/>
                <w:i/>
                <w:iCs/>
                <w:color w:val="auto"/>
                <w:sz w:val="24"/>
                <w:highlight w:val="none"/>
                <w:u w:val="single"/>
              </w:rPr>
            </w:pPr>
            <w:r>
              <w:rPr>
                <w:rFonts w:hint="eastAsia" w:ascii="宋体" w:hAnsi="宋体" w:cs="宋体"/>
                <w:b/>
                <w:i/>
                <w:iCs/>
                <w:color w:val="auto"/>
                <w:sz w:val="24"/>
                <w:highlight w:val="none"/>
                <w:u w:val="single"/>
                <w:lang w:val="en-US" w:eastAsia="zh-CN"/>
              </w:rPr>
              <w:t>4</w:t>
            </w:r>
            <w:r>
              <w:rPr>
                <w:rFonts w:hint="eastAsia" w:ascii="宋体" w:hAnsi="宋体" w:cs="宋体"/>
                <w:b/>
                <w:i/>
                <w:iCs/>
                <w:color w:val="auto"/>
                <w:sz w:val="24"/>
                <w:highlight w:val="none"/>
                <w:u w:val="single"/>
              </w:rPr>
              <w:t>、分项报价表严禁总价让利。</w:t>
            </w:r>
          </w:p>
          <w:p w14:paraId="5D94690F">
            <w:pPr>
              <w:keepNext w:val="0"/>
              <w:keepLines w:val="0"/>
              <w:pageBreakBefore w:val="0"/>
              <w:widowControl w:val="0"/>
              <w:spacing w:line="440" w:lineRule="exact"/>
              <w:outlineLvl w:val="9"/>
              <w:rPr>
                <w:rFonts w:hint="eastAsia" w:ascii="宋体" w:hAnsi="宋体" w:cs="宋体"/>
                <w:b/>
                <w:i/>
                <w:iCs/>
                <w:color w:val="auto"/>
                <w:sz w:val="24"/>
                <w:highlight w:val="none"/>
                <w:u w:val="single"/>
              </w:rPr>
            </w:pPr>
            <w:r>
              <w:rPr>
                <w:rFonts w:hint="eastAsia" w:ascii="宋体" w:hAnsi="宋体" w:cs="宋体"/>
                <w:b/>
                <w:i/>
                <w:iCs/>
                <w:color w:val="auto"/>
                <w:sz w:val="24"/>
                <w:highlight w:val="none"/>
                <w:u w:val="single"/>
                <w:lang w:val="en-US" w:eastAsia="zh-CN"/>
              </w:rPr>
              <w:t>5</w:t>
            </w:r>
            <w:r>
              <w:rPr>
                <w:rFonts w:hint="eastAsia" w:ascii="宋体" w:hAnsi="宋体" w:cs="宋体"/>
                <w:b/>
                <w:i/>
                <w:iCs/>
                <w:color w:val="auto"/>
                <w:sz w:val="24"/>
                <w:highlight w:val="none"/>
                <w:u w:val="single"/>
              </w:rPr>
              <w:t>、分项报价表中所列明的项目不接受赠送情形（含0元或明显低于市场价）。</w:t>
            </w:r>
          </w:p>
          <w:p w14:paraId="77FDAA95">
            <w:pPr>
              <w:keepLines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采购人要求依法缴纳社保、医保、住房公积金，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p>
          <w:p w14:paraId="0DA9E92E">
            <w:pPr>
              <w:rPr>
                <w:rFonts w:ascii="宋体" w:hAnsi="宋体" w:cs="Calibri"/>
                <w:b/>
                <w:bCs/>
                <w:color w:val="auto"/>
                <w:sz w:val="24"/>
                <w:szCs w:val="24"/>
                <w:highlight w:val="none"/>
              </w:rPr>
            </w:pPr>
          </w:p>
        </w:tc>
      </w:tr>
    </w:tbl>
    <w:p w14:paraId="59931020">
      <w:pPr>
        <w:ind w:firstLine="480"/>
        <w:rPr>
          <w:rFonts w:hint="eastAsia" w:ascii="宋体" w:hAnsi="宋体"/>
          <w:b/>
          <w:color w:val="auto"/>
          <w:sz w:val="24"/>
          <w:szCs w:val="24"/>
          <w:highlight w:val="none"/>
        </w:rPr>
      </w:pPr>
      <w:r>
        <w:rPr>
          <w:rFonts w:hint="eastAsia" w:ascii="宋体" w:hAnsi="宋体"/>
          <w:color w:val="auto"/>
          <w:sz w:val="24"/>
          <w:szCs w:val="24"/>
          <w:highlight w:val="none"/>
        </w:rPr>
        <w:t xml:space="preserve">                  </w:t>
      </w:r>
    </w:p>
    <w:p w14:paraId="400E1371">
      <w:pPr>
        <w:rPr>
          <w:rFonts w:hint="eastAsia" w:ascii="宋体" w:hAnsi="宋体" w:cs="宋体"/>
          <w:color w:val="auto"/>
          <w:highlight w:val="none"/>
        </w:rPr>
      </w:pPr>
      <w:r>
        <w:rPr>
          <w:rFonts w:hint="eastAsia" w:ascii="宋体" w:hAnsi="宋体" w:cs="宋体"/>
          <w:color w:val="auto"/>
          <w:highlight w:val="none"/>
        </w:rPr>
        <w:br w:type="page"/>
      </w:r>
    </w:p>
    <w:p w14:paraId="3FFE61A4">
      <w:pPr>
        <w:jc w:val="left"/>
        <w:rPr>
          <w:rFonts w:hint="eastAsia" w:ascii="黑体" w:hAnsi="黑体" w:eastAsia="黑体"/>
          <w:b/>
          <w:color w:val="auto"/>
          <w:sz w:val="32"/>
          <w:szCs w:val="32"/>
          <w:highlight w:val="none"/>
        </w:rPr>
      </w:pPr>
    </w:p>
    <w:p w14:paraId="4C9ACF73">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eastAsia="zh-CN"/>
        </w:rPr>
        <w:t>三</w:t>
      </w:r>
      <w:r>
        <w:rPr>
          <w:rFonts w:hint="eastAsia" w:ascii="黑体" w:hAnsi="黑体" w:eastAsia="黑体"/>
          <w:b/>
          <w:color w:val="auto"/>
          <w:sz w:val="32"/>
          <w:szCs w:val="32"/>
          <w:highlight w:val="none"/>
        </w:rPr>
        <w:t>、技术要求响应及偏离表</w:t>
      </w:r>
    </w:p>
    <w:tbl>
      <w:tblPr>
        <w:tblStyle w:val="3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8A4B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E6631C7">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3291" w:type="dxa"/>
            <w:vAlign w:val="center"/>
          </w:tcPr>
          <w:p w14:paraId="1AE5E8B6">
            <w:pPr>
              <w:jc w:val="center"/>
              <w:rPr>
                <w:rFonts w:ascii="宋体" w:hAnsi="宋体"/>
                <w:color w:val="auto"/>
                <w:sz w:val="24"/>
                <w:szCs w:val="24"/>
                <w:highlight w:val="none"/>
              </w:rPr>
            </w:pPr>
            <w:r>
              <w:rPr>
                <w:rFonts w:hint="eastAsia" w:ascii="宋体" w:hAnsi="宋体"/>
                <w:color w:val="auto"/>
                <w:sz w:val="24"/>
                <w:szCs w:val="24"/>
                <w:highlight w:val="none"/>
              </w:rPr>
              <w:t>招标文件要求</w:t>
            </w:r>
          </w:p>
        </w:tc>
        <w:tc>
          <w:tcPr>
            <w:tcW w:w="2852" w:type="dxa"/>
            <w:vAlign w:val="center"/>
          </w:tcPr>
          <w:p w14:paraId="2D5788C2">
            <w:pPr>
              <w:jc w:val="center"/>
              <w:rPr>
                <w:rFonts w:ascii="宋体" w:hAnsi="宋体"/>
                <w:color w:val="auto"/>
                <w:sz w:val="24"/>
                <w:szCs w:val="24"/>
                <w:highlight w:val="none"/>
              </w:rPr>
            </w:pPr>
            <w:r>
              <w:rPr>
                <w:rFonts w:hint="eastAsia" w:ascii="宋体" w:hAnsi="宋体"/>
                <w:color w:val="auto"/>
                <w:sz w:val="24"/>
                <w:szCs w:val="24"/>
                <w:highlight w:val="none"/>
              </w:rPr>
              <w:t>投标响应情况</w:t>
            </w:r>
          </w:p>
        </w:tc>
        <w:tc>
          <w:tcPr>
            <w:tcW w:w="1308" w:type="dxa"/>
            <w:vAlign w:val="center"/>
          </w:tcPr>
          <w:p w14:paraId="335142D7">
            <w:pPr>
              <w:jc w:val="center"/>
              <w:rPr>
                <w:rFonts w:ascii="宋体" w:hAnsi="宋体"/>
                <w:color w:val="auto"/>
                <w:sz w:val="24"/>
                <w:szCs w:val="24"/>
                <w:highlight w:val="none"/>
              </w:rPr>
            </w:pPr>
            <w:r>
              <w:rPr>
                <w:rFonts w:hint="eastAsia" w:ascii="宋体" w:hAnsi="宋体"/>
                <w:color w:val="auto"/>
                <w:sz w:val="24"/>
                <w:szCs w:val="24"/>
                <w:highlight w:val="none"/>
              </w:rPr>
              <w:t>超出、符合或偏离</w:t>
            </w:r>
          </w:p>
        </w:tc>
        <w:tc>
          <w:tcPr>
            <w:tcW w:w="1173" w:type="dxa"/>
            <w:vAlign w:val="center"/>
          </w:tcPr>
          <w:p w14:paraId="21A4AD6B">
            <w:pPr>
              <w:jc w:val="center"/>
              <w:rPr>
                <w:rFonts w:ascii="宋体" w:hAnsi="宋体"/>
                <w:color w:val="auto"/>
                <w:sz w:val="24"/>
                <w:szCs w:val="24"/>
                <w:highlight w:val="none"/>
              </w:rPr>
            </w:pPr>
            <w:r>
              <w:rPr>
                <w:rFonts w:hint="eastAsia" w:ascii="宋体" w:hAnsi="宋体"/>
                <w:color w:val="auto"/>
                <w:sz w:val="24"/>
                <w:szCs w:val="24"/>
                <w:highlight w:val="none"/>
              </w:rPr>
              <w:t>证明</w:t>
            </w:r>
          </w:p>
          <w:p w14:paraId="24D363F5">
            <w:pPr>
              <w:jc w:val="center"/>
              <w:rPr>
                <w:rFonts w:ascii="宋体" w:hAnsi="宋体"/>
                <w:color w:val="auto"/>
                <w:sz w:val="24"/>
                <w:szCs w:val="24"/>
                <w:highlight w:val="none"/>
              </w:rPr>
            </w:pPr>
            <w:r>
              <w:rPr>
                <w:rFonts w:hint="eastAsia" w:ascii="宋体" w:hAnsi="宋体"/>
                <w:color w:val="auto"/>
                <w:sz w:val="24"/>
                <w:szCs w:val="24"/>
                <w:highlight w:val="none"/>
              </w:rPr>
              <w:t>材料</w:t>
            </w:r>
          </w:p>
        </w:tc>
      </w:tr>
      <w:tr w14:paraId="52B9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B318F27">
            <w:pPr>
              <w:jc w:val="center"/>
              <w:rPr>
                <w:rFonts w:ascii="宋体" w:hAnsi="宋体"/>
                <w:color w:val="auto"/>
                <w:sz w:val="24"/>
                <w:szCs w:val="24"/>
                <w:highlight w:val="none"/>
              </w:rPr>
            </w:pPr>
          </w:p>
        </w:tc>
        <w:tc>
          <w:tcPr>
            <w:tcW w:w="3291" w:type="dxa"/>
          </w:tcPr>
          <w:p w14:paraId="1BD258CC">
            <w:pPr>
              <w:jc w:val="center"/>
              <w:rPr>
                <w:rFonts w:ascii="宋体" w:hAnsi="宋体"/>
                <w:color w:val="auto"/>
                <w:sz w:val="24"/>
                <w:szCs w:val="24"/>
                <w:highlight w:val="none"/>
              </w:rPr>
            </w:pPr>
          </w:p>
        </w:tc>
        <w:tc>
          <w:tcPr>
            <w:tcW w:w="2852" w:type="dxa"/>
          </w:tcPr>
          <w:p w14:paraId="447555CF">
            <w:pPr>
              <w:jc w:val="center"/>
              <w:rPr>
                <w:rFonts w:ascii="宋体" w:hAnsi="宋体"/>
                <w:color w:val="auto"/>
                <w:sz w:val="24"/>
                <w:szCs w:val="24"/>
                <w:highlight w:val="none"/>
              </w:rPr>
            </w:pPr>
          </w:p>
        </w:tc>
        <w:tc>
          <w:tcPr>
            <w:tcW w:w="1308" w:type="dxa"/>
          </w:tcPr>
          <w:p w14:paraId="191212EC">
            <w:pPr>
              <w:jc w:val="center"/>
              <w:rPr>
                <w:rFonts w:ascii="宋体" w:hAnsi="宋体"/>
                <w:color w:val="auto"/>
                <w:sz w:val="24"/>
                <w:szCs w:val="24"/>
                <w:highlight w:val="none"/>
              </w:rPr>
            </w:pPr>
          </w:p>
        </w:tc>
        <w:tc>
          <w:tcPr>
            <w:tcW w:w="1173" w:type="dxa"/>
          </w:tcPr>
          <w:p w14:paraId="132DE17F">
            <w:pPr>
              <w:jc w:val="center"/>
              <w:rPr>
                <w:rFonts w:ascii="宋体" w:hAnsi="宋体"/>
                <w:color w:val="auto"/>
                <w:sz w:val="24"/>
                <w:szCs w:val="24"/>
                <w:highlight w:val="none"/>
              </w:rPr>
            </w:pPr>
          </w:p>
        </w:tc>
      </w:tr>
      <w:tr w14:paraId="5CDA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E02BE59">
            <w:pPr>
              <w:jc w:val="center"/>
              <w:rPr>
                <w:rFonts w:ascii="宋体" w:hAnsi="宋体"/>
                <w:color w:val="auto"/>
                <w:sz w:val="24"/>
                <w:szCs w:val="24"/>
                <w:highlight w:val="none"/>
              </w:rPr>
            </w:pPr>
          </w:p>
        </w:tc>
        <w:tc>
          <w:tcPr>
            <w:tcW w:w="3291" w:type="dxa"/>
          </w:tcPr>
          <w:p w14:paraId="22F95185">
            <w:pPr>
              <w:jc w:val="center"/>
              <w:rPr>
                <w:rFonts w:ascii="宋体" w:hAnsi="宋体"/>
                <w:color w:val="auto"/>
                <w:sz w:val="24"/>
                <w:szCs w:val="24"/>
                <w:highlight w:val="none"/>
              </w:rPr>
            </w:pPr>
          </w:p>
        </w:tc>
        <w:tc>
          <w:tcPr>
            <w:tcW w:w="2852" w:type="dxa"/>
          </w:tcPr>
          <w:p w14:paraId="50B22B2D">
            <w:pPr>
              <w:jc w:val="center"/>
              <w:rPr>
                <w:rFonts w:ascii="宋体" w:hAnsi="宋体"/>
                <w:color w:val="auto"/>
                <w:sz w:val="24"/>
                <w:szCs w:val="24"/>
                <w:highlight w:val="none"/>
              </w:rPr>
            </w:pPr>
          </w:p>
        </w:tc>
        <w:tc>
          <w:tcPr>
            <w:tcW w:w="1308" w:type="dxa"/>
          </w:tcPr>
          <w:p w14:paraId="530AE61B">
            <w:pPr>
              <w:jc w:val="center"/>
              <w:rPr>
                <w:rFonts w:ascii="宋体" w:hAnsi="宋体"/>
                <w:color w:val="auto"/>
                <w:sz w:val="24"/>
                <w:szCs w:val="24"/>
                <w:highlight w:val="none"/>
              </w:rPr>
            </w:pPr>
          </w:p>
        </w:tc>
        <w:tc>
          <w:tcPr>
            <w:tcW w:w="1173" w:type="dxa"/>
          </w:tcPr>
          <w:p w14:paraId="6F11889E">
            <w:pPr>
              <w:jc w:val="center"/>
              <w:rPr>
                <w:rFonts w:ascii="宋体" w:hAnsi="宋体"/>
                <w:color w:val="auto"/>
                <w:sz w:val="24"/>
                <w:szCs w:val="24"/>
                <w:highlight w:val="none"/>
              </w:rPr>
            </w:pPr>
          </w:p>
        </w:tc>
      </w:tr>
      <w:tr w14:paraId="15837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BF5FAC8">
            <w:pPr>
              <w:jc w:val="center"/>
              <w:rPr>
                <w:rFonts w:ascii="宋体" w:hAnsi="宋体"/>
                <w:color w:val="auto"/>
                <w:sz w:val="24"/>
                <w:szCs w:val="24"/>
                <w:highlight w:val="none"/>
              </w:rPr>
            </w:pPr>
          </w:p>
        </w:tc>
        <w:tc>
          <w:tcPr>
            <w:tcW w:w="3291" w:type="dxa"/>
          </w:tcPr>
          <w:p w14:paraId="31C51B37">
            <w:pPr>
              <w:jc w:val="center"/>
              <w:rPr>
                <w:rFonts w:ascii="宋体" w:hAnsi="宋体"/>
                <w:color w:val="auto"/>
                <w:sz w:val="24"/>
                <w:szCs w:val="24"/>
                <w:highlight w:val="none"/>
              </w:rPr>
            </w:pPr>
          </w:p>
        </w:tc>
        <w:tc>
          <w:tcPr>
            <w:tcW w:w="2852" w:type="dxa"/>
          </w:tcPr>
          <w:p w14:paraId="65290B0D">
            <w:pPr>
              <w:jc w:val="center"/>
              <w:rPr>
                <w:rFonts w:ascii="宋体" w:hAnsi="宋体"/>
                <w:color w:val="auto"/>
                <w:sz w:val="24"/>
                <w:szCs w:val="24"/>
                <w:highlight w:val="none"/>
              </w:rPr>
            </w:pPr>
          </w:p>
        </w:tc>
        <w:tc>
          <w:tcPr>
            <w:tcW w:w="1308" w:type="dxa"/>
          </w:tcPr>
          <w:p w14:paraId="37BFEE5B">
            <w:pPr>
              <w:jc w:val="center"/>
              <w:rPr>
                <w:rFonts w:ascii="宋体" w:hAnsi="宋体"/>
                <w:color w:val="auto"/>
                <w:sz w:val="24"/>
                <w:szCs w:val="24"/>
                <w:highlight w:val="none"/>
              </w:rPr>
            </w:pPr>
          </w:p>
        </w:tc>
        <w:tc>
          <w:tcPr>
            <w:tcW w:w="1173" w:type="dxa"/>
          </w:tcPr>
          <w:p w14:paraId="110A86CD">
            <w:pPr>
              <w:jc w:val="center"/>
              <w:rPr>
                <w:rFonts w:ascii="宋体" w:hAnsi="宋体"/>
                <w:color w:val="auto"/>
                <w:sz w:val="24"/>
                <w:szCs w:val="24"/>
                <w:highlight w:val="none"/>
              </w:rPr>
            </w:pPr>
          </w:p>
        </w:tc>
      </w:tr>
      <w:tr w14:paraId="6F9E4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6220858">
            <w:pPr>
              <w:jc w:val="center"/>
              <w:rPr>
                <w:rFonts w:ascii="宋体" w:hAnsi="宋体"/>
                <w:color w:val="auto"/>
                <w:sz w:val="24"/>
                <w:szCs w:val="24"/>
                <w:highlight w:val="none"/>
              </w:rPr>
            </w:pPr>
          </w:p>
        </w:tc>
        <w:tc>
          <w:tcPr>
            <w:tcW w:w="3291" w:type="dxa"/>
          </w:tcPr>
          <w:p w14:paraId="299E3628">
            <w:pPr>
              <w:jc w:val="center"/>
              <w:rPr>
                <w:rFonts w:ascii="宋体" w:hAnsi="宋体"/>
                <w:color w:val="auto"/>
                <w:sz w:val="24"/>
                <w:szCs w:val="24"/>
                <w:highlight w:val="none"/>
              </w:rPr>
            </w:pPr>
          </w:p>
        </w:tc>
        <w:tc>
          <w:tcPr>
            <w:tcW w:w="2852" w:type="dxa"/>
          </w:tcPr>
          <w:p w14:paraId="64955B32">
            <w:pPr>
              <w:jc w:val="center"/>
              <w:rPr>
                <w:rFonts w:ascii="宋体" w:hAnsi="宋体"/>
                <w:color w:val="auto"/>
                <w:sz w:val="24"/>
                <w:szCs w:val="24"/>
                <w:highlight w:val="none"/>
              </w:rPr>
            </w:pPr>
          </w:p>
        </w:tc>
        <w:tc>
          <w:tcPr>
            <w:tcW w:w="1308" w:type="dxa"/>
          </w:tcPr>
          <w:p w14:paraId="1BFAACFB">
            <w:pPr>
              <w:jc w:val="center"/>
              <w:rPr>
                <w:rFonts w:ascii="宋体" w:hAnsi="宋体"/>
                <w:color w:val="auto"/>
                <w:sz w:val="24"/>
                <w:szCs w:val="24"/>
                <w:highlight w:val="none"/>
              </w:rPr>
            </w:pPr>
          </w:p>
        </w:tc>
        <w:tc>
          <w:tcPr>
            <w:tcW w:w="1173" w:type="dxa"/>
          </w:tcPr>
          <w:p w14:paraId="49D257C4">
            <w:pPr>
              <w:jc w:val="center"/>
              <w:rPr>
                <w:rFonts w:ascii="宋体" w:hAnsi="宋体"/>
                <w:color w:val="auto"/>
                <w:sz w:val="24"/>
                <w:szCs w:val="24"/>
                <w:highlight w:val="none"/>
              </w:rPr>
            </w:pPr>
          </w:p>
        </w:tc>
      </w:tr>
      <w:tr w14:paraId="7A5F5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F2C0C11">
            <w:pPr>
              <w:jc w:val="center"/>
              <w:rPr>
                <w:rFonts w:ascii="宋体" w:hAnsi="宋体"/>
                <w:color w:val="auto"/>
                <w:sz w:val="24"/>
                <w:szCs w:val="24"/>
                <w:highlight w:val="none"/>
              </w:rPr>
            </w:pPr>
          </w:p>
        </w:tc>
        <w:tc>
          <w:tcPr>
            <w:tcW w:w="3291" w:type="dxa"/>
          </w:tcPr>
          <w:p w14:paraId="017FBCC6">
            <w:pPr>
              <w:jc w:val="center"/>
              <w:rPr>
                <w:rFonts w:ascii="宋体" w:hAnsi="宋体"/>
                <w:color w:val="auto"/>
                <w:sz w:val="24"/>
                <w:szCs w:val="24"/>
                <w:highlight w:val="none"/>
              </w:rPr>
            </w:pPr>
          </w:p>
        </w:tc>
        <w:tc>
          <w:tcPr>
            <w:tcW w:w="2852" w:type="dxa"/>
          </w:tcPr>
          <w:p w14:paraId="5C543436">
            <w:pPr>
              <w:jc w:val="center"/>
              <w:rPr>
                <w:rFonts w:ascii="宋体" w:hAnsi="宋体"/>
                <w:color w:val="auto"/>
                <w:sz w:val="24"/>
                <w:szCs w:val="24"/>
                <w:highlight w:val="none"/>
              </w:rPr>
            </w:pPr>
          </w:p>
        </w:tc>
        <w:tc>
          <w:tcPr>
            <w:tcW w:w="1308" w:type="dxa"/>
          </w:tcPr>
          <w:p w14:paraId="085536E7">
            <w:pPr>
              <w:jc w:val="center"/>
              <w:rPr>
                <w:rFonts w:ascii="宋体" w:hAnsi="宋体"/>
                <w:color w:val="auto"/>
                <w:sz w:val="24"/>
                <w:szCs w:val="24"/>
                <w:highlight w:val="none"/>
              </w:rPr>
            </w:pPr>
          </w:p>
        </w:tc>
        <w:tc>
          <w:tcPr>
            <w:tcW w:w="1173" w:type="dxa"/>
          </w:tcPr>
          <w:p w14:paraId="59E0AFD8">
            <w:pPr>
              <w:jc w:val="center"/>
              <w:rPr>
                <w:rFonts w:ascii="宋体" w:hAnsi="宋体"/>
                <w:color w:val="auto"/>
                <w:sz w:val="24"/>
                <w:szCs w:val="24"/>
                <w:highlight w:val="none"/>
              </w:rPr>
            </w:pPr>
          </w:p>
        </w:tc>
      </w:tr>
      <w:tr w14:paraId="105B5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6234F70D">
            <w:pPr>
              <w:jc w:val="center"/>
              <w:rPr>
                <w:rFonts w:ascii="宋体" w:hAnsi="宋体"/>
                <w:color w:val="auto"/>
                <w:sz w:val="24"/>
                <w:szCs w:val="24"/>
                <w:highlight w:val="none"/>
              </w:rPr>
            </w:pPr>
          </w:p>
        </w:tc>
        <w:tc>
          <w:tcPr>
            <w:tcW w:w="3291" w:type="dxa"/>
          </w:tcPr>
          <w:p w14:paraId="43EE7BA1">
            <w:pPr>
              <w:jc w:val="center"/>
              <w:rPr>
                <w:rFonts w:ascii="宋体" w:hAnsi="宋体"/>
                <w:color w:val="auto"/>
                <w:sz w:val="24"/>
                <w:szCs w:val="24"/>
                <w:highlight w:val="none"/>
              </w:rPr>
            </w:pPr>
          </w:p>
        </w:tc>
        <w:tc>
          <w:tcPr>
            <w:tcW w:w="2852" w:type="dxa"/>
          </w:tcPr>
          <w:p w14:paraId="77353369">
            <w:pPr>
              <w:jc w:val="center"/>
              <w:rPr>
                <w:rFonts w:ascii="宋体" w:hAnsi="宋体"/>
                <w:color w:val="auto"/>
                <w:sz w:val="24"/>
                <w:szCs w:val="24"/>
                <w:highlight w:val="none"/>
              </w:rPr>
            </w:pPr>
          </w:p>
        </w:tc>
        <w:tc>
          <w:tcPr>
            <w:tcW w:w="1308" w:type="dxa"/>
          </w:tcPr>
          <w:p w14:paraId="34585BAC">
            <w:pPr>
              <w:jc w:val="center"/>
              <w:rPr>
                <w:rFonts w:ascii="宋体" w:hAnsi="宋体"/>
                <w:color w:val="auto"/>
                <w:sz w:val="24"/>
                <w:szCs w:val="24"/>
                <w:highlight w:val="none"/>
              </w:rPr>
            </w:pPr>
          </w:p>
        </w:tc>
        <w:tc>
          <w:tcPr>
            <w:tcW w:w="1173" w:type="dxa"/>
          </w:tcPr>
          <w:p w14:paraId="12D21B62">
            <w:pPr>
              <w:jc w:val="center"/>
              <w:rPr>
                <w:rFonts w:ascii="宋体" w:hAnsi="宋体"/>
                <w:color w:val="auto"/>
                <w:sz w:val="24"/>
                <w:szCs w:val="24"/>
                <w:highlight w:val="none"/>
              </w:rPr>
            </w:pPr>
          </w:p>
        </w:tc>
      </w:tr>
      <w:tr w14:paraId="77BF5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D506B17">
            <w:pPr>
              <w:jc w:val="center"/>
              <w:rPr>
                <w:rFonts w:ascii="宋体" w:hAnsi="宋体"/>
                <w:color w:val="auto"/>
                <w:sz w:val="24"/>
                <w:szCs w:val="24"/>
                <w:highlight w:val="none"/>
              </w:rPr>
            </w:pPr>
          </w:p>
        </w:tc>
        <w:tc>
          <w:tcPr>
            <w:tcW w:w="3291" w:type="dxa"/>
          </w:tcPr>
          <w:p w14:paraId="63371EBD">
            <w:pPr>
              <w:jc w:val="center"/>
              <w:rPr>
                <w:rFonts w:ascii="宋体" w:hAnsi="宋体"/>
                <w:color w:val="auto"/>
                <w:sz w:val="24"/>
                <w:szCs w:val="24"/>
                <w:highlight w:val="none"/>
              </w:rPr>
            </w:pPr>
          </w:p>
        </w:tc>
        <w:tc>
          <w:tcPr>
            <w:tcW w:w="2852" w:type="dxa"/>
          </w:tcPr>
          <w:p w14:paraId="0B87032E">
            <w:pPr>
              <w:jc w:val="center"/>
              <w:rPr>
                <w:rFonts w:ascii="宋体" w:hAnsi="宋体"/>
                <w:color w:val="auto"/>
                <w:sz w:val="24"/>
                <w:szCs w:val="24"/>
                <w:highlight w:val="none"/>
              </w:rPr>
            </w:pPr>
          </w:p>
        </w:tc>
        <w:tc>
          <w:tcPr>
            <w:tcW w:w="1308" w:type="dxa"/>
          </w:tcPr>
          <w:p w14:paraId="18186673">
            <w:pPr>
              <w:jc w:val="center"/>
              <w:rPr>
                <w:rFonts w:ascii="宋体" w:hAnsi="宋体"/>
                <w:color w:val="auto"/>
                <w:sz w:val="24"/>
                <w:szCs w:val="24"/>
                <w:highlight w:val="none"/>
              </w:rPr>
            </w:pPr>
          </w:p>
        </w:tc>
        <w:tc>
          <w:tcPr>
            <w:tcW w:w="1173" w:type="dxa"/>
          </w:tcPr>
          <w:p w14:paraId="32618130">
            <w:pPr>
              <w:jc w:val="center"/>
              <w:rPr>
                <w:rFonts w:ascii="宋体" w:hAnsi="宋体"/>
                <w:color w:val="auto"/>
                <w:sz w:val="24"/>
                <w:szCs w:val="24"/>
                <w:highlight w:val="none"/>
              </w:rPr>
            </w:pPr>
          </w:p>
        </w:tc>
      </w:tr>
      <w:tr w14:paraId="2EC19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9A819CC">
            <w:pPr>
              <w:jc w:val="center"/>
              <w:rPr>
                <w:rFonts w:ascii="宋体" w:hAnsi="宋体"/>
                <w:color w:val="auto"/>
                <w:sz w:val="24"/>
                <w:szCs w:val="24"/>
                <w:highlight w:val="none"/>
              </w:rPr>
            </w:pPr>
          </w:p>
        </w:tc>
        <w:tc>
          <w:tcPr>
            <w:tcW w:w="3291" w:type="dxa"/>
          </w:tcPr>
          <w:p w14:paraId="6A89001E">
            <w:pPr>
              <w:jc w:val="center"/>
              <w:rPr>
                <w:rFonts w:ascii="宋体" w:hAnsi="宋体"/>
                <w:color w:val="auto"/>
                <w:sz w:val="24"/>
                <w:szCs w:val="24"/>
                <w:highlight w:val="none"/>
              </w:rPr>
            </w:pPr>
            <w:r>
              <w:rPr>
                <w:rFonts w:ascii="宋体" w:hAnsi="宋体"/>
                <w:color w:val="auto"/>
                <w:sz w:val="24"/>
                <w:szCs w:val="24"/>
                <w:highlight w:val="none"/>
              </w:rPr>
              <w:t>……</w:t>
            </w:r>
          </w:p>
        </w:tc>
        <w:tc>
          <w:tcPr>
            <w:tcW w:w="2852" w:type="dxa"/>
          </w:tcPr>
          <w:p w14:paraId="6422CD12">
            <w:pPr>
              <w:jc w:val="center"/>
              <w:rPr>
                <w:rFonts w:ascii="宋体" w:hAnsi="宋体"/>
                <w:color w:val="auto"/>
                <w:sz w:val="24"/>
                <w:szCs w:val="24"/>
                <w:highlight w:val="none"/>
              </w:rPr>
            </w:pPr>
          </w:p>
        </w:tc>
        <w:tc>
          <w:tcPr>
            <w:tcW w:w="1308" w:type="dxa"/>
          </w:tcPr>
          <w:p w14:paraId="01D95F13">
            <w:pPr>
              <w:jc w:val="center"/>
              <w:rPr>
                <w:rFonts w:ascii="宋体" w:hAnsi="宋体"/>
                <w:color w:val="auto"/>
                <w:sz w:val="24"/>
                <w:szCs w:val="24"/>
                <w:highlight w:val="none"/>
              </w:rPr>
            </w:pPr>
          </w:p>
        </w:tc>
        <w:tc>
          <w:tcPr>
            <w:tcW w:w="1173" w:type="dxa"/>
          </w:tcPr>
          <w:p w14:paraId="00861CBC">
            <w:pPr>
              <w:jc w:val="center"/>
              <w:rPr>
                <w:rFonts w:ascii="宋体" w:hAnsi="宋体"/>
                <w:color w:val="auto"/>
                <w:sz w:val="24"/>
                <w:szCs w:val="24"/>
                <w:highlight w:val="none"/>
              </w:rPr>
            </w:pPr>
          </w:p>
        </w:tc>
      </w:tr>
    </w:tbl>
    <w:p w14:paraId="1A75D8B1">
      <w:pPr>
        <w:rPr>
          <w:rFonts w:ascii="宋体" w:hAnsi="宋体"/>
          <w:color w:val="auto"/>
          <w:sz w:val="24"/>
          <w:szCs w:val="24"/>
          <w:highlight w:val="none"/>
        </w:rPr>
      </w:pPr>
      <w:r>
        <w:rPr>
          <w:rFonts w:hint="eastAsia" w:ascii="宋体" w:hAnsi="宋体"/>
          <w:color w:val="auto"/>
          <w:sz w:val="24"/>
          <w:szCs w:val="24"/>
          <w:highlight w:val="none"/>
        </w:rPr>
        <w:t>注： 行数不够，可自行添加。</w:t>
      </w:r>
    </w:p>
    <w:p w14:paraId="2C95FF20">
      <w:pPr>
        <w:jc w:val="center"/>
        <w:rPr>
          <w:rFonts w:ascii="黑体" w:hAnsi="Arial" w:eastAsia="黑体"/>
          <w:b/>
          <w:color w:val="auto"/>
          <w:sz w:val="36"/>
          <w:highlight w:val="none"/>
        </w:rPr>
      </w:pPr>
    </w:p>
    <w:p w14:paraId="7F1E2D7A">
      <w:pPr>
        <w:jc w:val="center"/>
        <w:rPr>
          <w:rFonts w:ascii="黑体" w:hAnsi="Arial" w:eastAsia="黑体"/>
          <w:b/>
          <w:color w:val="auto"/>
          <w:sz w:val="36"/>
          <w:highlight w:val="none"/>
        </w:rPr>
      </w:pPr>
    </w:p>
    <w:p w14:paraId="534060CE">
      <w:pPr>
        <w:jc w:val="center"/>
        <w:rPr>
          <w:rFonts w:ascii="黑体" w:hAnsi="Arial" w:eastAsia="黑体"/>
          <w:b/>
          <w:color w:val="auto"/>
          <w:sz w:val="36"/>
          <w:highlight w:val="none"/>
        </w:rPr>
      </w:pPr>
    </w:p>
    <w:p w14:paraId="71EA4C0D">
      <w:pPr>
        <w:jc w:val="center"/>
        <w:rPr>
          <w:rFonts w:ascii="黑体" w:hAnsi="Arial" w:eastAsia="黑体"/>
          <w:b/>
          <w:color w:val="auto"/>
          <w:sz w:val="36"/>
          <w:highlight w:val="none"/>
        </w:rPr>
      </w:pPr>
    </w:p>
    <w:p w14:paraId="2B65341C">
      <w:pPr>
        <w:rPr>
          <w:rFonts w:ascii="黑体" w:hAnsi="Arial" w:eastAsia="黑体"/>
          <w:color w:val="auto"/>
          <w:sz w:val="32"/>
          <w:highlight w:val="none"/>
        </w:rPr>
      </w:pPr>
    </w:p>
    <w:p w14:paraId="1539D62A">
      <w:pPr>
        <w:rPr>
          <w:rFonts w:ascii="黑体" w:hAnsi="Arial" w:eastAsia="黑体"/>
          <w:color w:val="auto"/>
          <w:sz w:val="32"/>
          <w:highlight w:val="none"/>
        </w:rPr>
      </w:pPr>
    </w:p>
    <w:p w14:paraId="58884B16">
      <w:pPr>
        <w:rPr>
          <w:rFonts w:ascii="黑体" w:hAnsi="Arial" w:eastAsia="黑体"/>
          <w:color w:val="auto"/>
          <w:sz w:val="32"/>
          <w:highlight w:val="none"/>
        </w:rPr>
      </w:pPr>
    </w:p>
    <w:p w14:paraId="1EED59B9">
      <w:pPr>
        <w:rPr>
          <w:rFonts w:ascii="黑体" w:hAnsi="Arial" w:eastAsia="黑体"/>
          <w:color w:val="auto"/>
          <w:sz w:val="32"/>
          <w:highlight w:val="none"/>
        </w:rPr>
      </w:pPr>
    </w:p>
    <w:p w14:paraId="7727DCFA">
      <w:pPr>
        <w:rPr>
          <w:rFonts w:ascii="黑体" w:hAnsi="Arial" w:eastAsia="黑体"/>
          <w:color w:val="auto"/>
          <w:sz w:val="32"/>
          <w:highlight w:val="none"/>
        </w:rPr>
      </w:pPr>
    </w:p>
    <w:p w14:paraId="0DB8A558">
      <w:pPr>
        <w:rPr>
          <w:rFonts w:ascii="黑体" w:hAnsi="Arial" w:eastAsia="黑体"/>
          <w:color w:val="auto"/>
          <w:sz w:val="32"/>
          <w:highlight w:val="none"/>
        </w:rPr>
      </w:pPr>
    </w:p>
    <w:p w14:paraId="5AA08206">
      <w:pPr>
        <w:rPr>
          <w:rFonts w:ascii="黑体" w:hAnsi="Arial" w:eastAsia="黑体"/>
          <w:color w:val="auto"/>
          <w:sz w:val="32"/>
          <w:highlight w:val="none"/>
        </w:rPr>
      </w:pPr>
    </w:p>
    <w:p w14:paraId="32679146">
      <w:pPr>
        <w:rPr>
          <w:rFonts w:ascii="黑体" w:hAnsi="Arial" w:eastAsia="黑体"/>
          <w:color w:val="auto"/>
          <w:sz w:val="32"/>
          <w:highlight w:val="none"/>
        </w:rPr>
      </w:pPr>
    </w:p>
    <w:p w14:paraId="52BDAEE0">
      <w:pPr>
        <w:rPr>
          <w:rFonts w:ascii="黑体" w:hAnsi="Arial" w:eastAsia="黑体"/>
          <w:color w:val="auto"/>
          <w:sz w:val="32"/>
          <w:highlight w:val="none"/>
        </w:rPr>
      </w:pPr>
    </w:p>
    <w:p w14:paraId="0D47602B">
      <w:pPr>
        <w:rPr>
          <w:rFonts w:ascii="黑体" w:hAnsi="Arial" w:eastAsia="黑体"/>
          <w:color w:val="auto"/>
          <w:sz w:val="32"/>
          <w:highlight w:val="none"/>
        </w:rPr>
      </w:pPr>
    </w:p>
    <w:p w14:paraId="153E0780">
      <w:pPr>
        <w:rPr>
          <w:rFonts w:ascii="黑体" w:hAnsi="Arial" w:eastAsia="黑体"/>
          <w:color w:val="auto"/>
          <w:sz w:val="32"/>
          <w:highlight w:val="none"/>
        </w:rPr>
      </w:pPr>
    </w:p>
    <w:bookmarkEnd w:id="69"/>
    <w:p w14:paraId="6C008C14">
      <w:pPr>
        <w:rPr>
          <w:rFonts w:ascii="黑体" w:hAnsi="Arial" w:eastAsia="黑体"/>
          <w:color w:val="auto"/>
          <w:sz w:val="32"/>
          <w:highlight w:val="none"/>
        </w:rPr>
      </w:pPr>
    </w:p>
    <w:p w14:paraId="46E3D283">
      <w:pPr>
        <w:rPr>
          <w:rFonts w:ascii="黑体" w:hAnsi="Arial" w:eastAsia="黑体"/>
          <w:color w:val="auto"/>
          <w:sz w:val="32"/>
          <w:highlight w:val="none"/>
        </w:rPr>
      </w:pPr>
    </w:p>
    <w:p w14:paraId="1C11CA0C">
      <w:pPr>
        <w:jc w:val="center"/>
        <w:rPr>
          <w:rFonts w:ascii="黑体" w:hAnsi="黑体" w:eastAsia="黑体"/>
          <w:b/>
          <w:color w:val="auto"/>
          <w:sz w:val="32"/>
          <w:szCs w:val="32"/>
          <w:highlight w:val="none"/>
        </w:rPr>
      </w:pPr>
      <w:bookmarkStart w:id="74" w:name="_Hlt26955054"/>
      <w:bookmarkEnd w:id="74"/>
      <w:r>
        <w:rPr>
          <w:rFonts w:hint="eastAsia" w:ascii="黑体" w:hAnsi="黑体" w:eastAsia="黑体"/>
          <w:b/>
          <w:color w:val="auto"/>
          <w:sz w:val="32"/>
          <w:szCs w:val="32"/>
          <w:highlight w:val="none"/>
        </w:rPr>
        <w:t>十</w:t>
      </w:r>
      <w:r>
        <w:rPr>
          <w:rFonts w:hint="eastAsia" w:ascii="黑体" w:hAnsi="黑体" w:eastAsia="黑体"/>
          <w:b/>
          <w:color w:val="auto"/>
          <w:sz w:val="32"/>
          <w:szCs w:val="32"/>
          <w:highlight w:val="none"/>
          <w:lang w:val="en-US" w:eastAsia="zh-CN"/>
        </w:rPr>
        <w:t>四</w:t>
      </w:r>
      <w:r>
        <w:rPr>
          <w:rFonts w:hint="eastAsia" w:ascii="黑体" w:hAnsi="黑体" w:eastAsia="黑体"/>
          <w:b/>
          <w:color w:val="auto"/>
          <w:sz w:val="32"/>
          <w:szCs w:val="32"/>
          <w:highlight w:val="none"/>
        </w:rPr>
        <w:t>、商务要求响应及偏离表</w:t>
      </w:r>
    </w:p>
    <w:tbl>
      <w:tblPr>
        <w:tblStyle w:val="38"/>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3"/>
        <w:gridCol w:w="2502"/>
        <w:gridCol w:w="1837"/>
        <w:gridCol w:w="2699"/>
      </w:tblGrid>
      <w:tr w14:paraId="62837A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93" w:type="dxa"/>
            <w:tcBorders>
              <w:top w:val="single" w:color="auto" w:sz="4" w:space="0"/>
              <w:left w:val="single" w:color="auto" w:sz="4" w:space="0"/>
              <w:bottom w:val="single" w:color="auto" w:sz="4" w:space="0"/>
              <w:right w:val="single" w:color="auto" w:sz="4" w:space="0"/>
            </w:tcBorders>
            <w:noWrap w:val="0"/>
          </w:tcPr>
          <w:p w14:paraId="70E3F297">
            <w:pPr>
              <w:spacing w:before="120"/>
              <w:jc w:val="center"/>
              <w:rPr>
                <w:rFonts w:ascii="宋体" w:hAnsi="宋体" w:cs="宋体"/>
                <w:color w:val="auto"/>
                <w:szCs w:val="21"/>
                <w:highlight w:val="none"/>
              </w:rPr>
            </w:pPr>
            <w:bookmarkStart w:id="75" w:name="_Hlt26955064"/>
            <w:bookmarkEnd w:id="75"/>
            <w:bookmarkStart w:id="76" w:name="_Hlt24879081"/>
            <w:bookmarkEnd w:id="76"/>
            <w:bookmarkStart w:id="77" w:name="_Hlt26609391"/>
            <w:bookmarkEnd w:id="77"/>
            <w:bookmarkStart w:id="78" w:name="_Hlt26955056"/>
            <w:bookmarkEnd w:id="78"/>
            <w:bookmarkStart w:id="79" w:name="_Hlt26671372"/>
            <w:bookmarkEnd w:id="79"/>
            <w:bookmarkStart w:id="80" w:name="_Hlt26580838"/>
            <w:bookmarkEnd w:id="80"/>
            <w:bookmarkStart w:id="81" w:name="_Hlt26671343"/>
            <w:bookmarkEnd w:id="81"/>
            <w:bookmarkStart w:id="82" w:name="_Hlt26782999"/>
            <w:bookmarkEnd w:id="82"/>
            <w:r>
              <w:rPr>
                <w:rFonts w:hint="eastAsia" w:ascii="宋体" w:hAnsi="宋体" w:cs="宋体"/>
                <w:color w:val="auto"/>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noWrap w:val="0"/>
          </w:tcPr>
          <w:p w14:paraId="1B199138">
            <w:pPr>
              <w:spacing w:before="120"/>
              <w:jc w:val="center"/>
              <w:rPr>
                <w:rFonts w:ascii="宋体" w:hAnsi="宋体" w:cs="宋体"/>
                <w:color w:val="auto"/>
                <w:szCs w:val="21"/>
                <w:highlight w:val="none"/>
              </w:rPr>
            </w:pPr>
            <w:r>
              <w:rPr>
                <w:rFonts w:hint="eastAsia" w:ascii="宋体" w:hAnsi="宋体" w:cs="宋体"/>
                <w:color w:val="auto"/>
                <w:szCs w:val="21"/>
                <w:highlight w:val="none"/>
              </w:rPr>
              <w:t>招标文件要求</w:t>
            </w:r>
          </w:p>
        </w:tc>
        <w:tc>
          <w:tcPr>
            <w:tcW w:w="1837" w:type="dxa"/>
            <w:tcBorders>
              <w:top w:val="single" w:color="auto" w:sz="4" w:space="0"/>
              <w:left w:val="single" w:color="auto" w:sz="4" w:space="0"/>
              <w:bottom w:val="single" w:color="auto" w:sz="4" w:space="0"/>
              <w:right w:val="single" w:color="auto" w:sz="4" w:space="0"/>
            </w:tcBorders>
            <w:noWrap w:val="0"/>
          </w:tcPr>
          <w:p w14:paraId="46A60EF5">
            <w:pPr>
              <w:spacing w:before="120"/>
              <w:jc w:val="center"/>
              <w:rPr>
                <w:rFonts w:ascii="宋体" w:hAnsi="宋体" w:cs="宋体"/>
                <w:color w:val="auto"/>
                <w:szCs w:val="21"/>
                <w:highlight w:val="none"/>
              </w:rPr>
            </w:pPr>
            <w:r>
              <w:rPr>
                <w:rFonts w:hint="eastAsia" w:ascii="宋体" w:hAnsi="宋体" w:cs="宋体"/>
                <w:color w:val="auto"/>
                <w:szCs w:val="21"/>
                <w:highlight w:val="none"/>
              </w:rPr>
              <w:t>是否响应</w:t>
            </w:r>
          </w:p>
        </w:tc>
        <w:tc>
          <w:tcPr>
            <w:tcW w:w="2699" w:type="dxa"/>
            <w:tcBorders>
              <w:top w:val="single" w:color="auto" w:sz="4" w:space="0"/>
              <w:left w:val="single" w:color="auto" w:sz="4" w:space="0"/>
              <w:bottom w:val="single" w:color="auto" w:sz="4" w:space="0"/>
              <w:right w:val="single" w:color="auto" w:sz="4" w:space="0"/>
            </w:tcBorders>
            <w:noWrap w:val="0"/>
          </w:tcPr>
          <w:p w14:paraId="7F69F10A">
            <w:pPr>
              <w:spacing w:before="120"/>
              <w:jc w:val="center"/>
              <w:rPr>
                <w:rFonts w:ascii="宋体" w:hAnsi="宋体" w:cs="宋体"/>
                <w:color w:val="auto"/>
                <w:szCs w:val="21"/>
                <w:highlight w:val="none"/>
              </w:rPr>
            </w:pPr>
            <w:r>
              <w:rPr>
                <w:rFonts w:hint="eastAsia" w:ascii="宋体" w:hAnsi="宋体" w:cs="宋体"/>
                <w:color w:val="auto"/>
                <w:szCs w:val="21"/>
                <w:highlight w:val="none"/>
              </w:rPr>
              <w:t>投标人的承诺或说明</w:t>
            </w:r>
          </w:p>
        </w:tc>
      </w:tr>
      <w:tr w14:paraId="5DBBA1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9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73B1BB1">
            <w:pPr>
              <w:spacing w:before="120"/>
              <w:jc w:val="center"/>
              <w:rPr>
                <w:rFonts w:hint="default" w:ascii="宋体" w:hAnsi="宋体" w:eastAsia="宋体" w:cs="宋体"/>
                <w:color w:val="auto"/>
                <w:sz w:val="21"/>
                <w:szCs w:val="21"/>
                <w:highlight w:val="none"/>
                <w:lang w:val="en-US" w:eastAsia="zh-CN" w:bidi="ar-SA"/>
              </w:rPr>
            </w:pPr>
          </w:p>
        </w:tc>
        <w:tc>
          <w:tcPr>
            <w:tcW w:w="2502" w:type="dxa"/>
            <w:tcBorders>
              <w:top w:val="single" w:color="auto" w:sz="4" w:space="0"/>
              <w:left w:val="single" w:color="auto" w:sz="4" w:space="0"/>
              <w:bottom w:val="single" w:color="auto" w:sz="4" w:space="0"/>
              <w:right w:val="single" w:color="auto" w:sz="4" w:space="0"/>
            </w:tcBorders>
            <w:noWrap w:val="0"/>
          </w:tcPr>
          <w:p w14:paraId="30D0523B">
            <w:pPr>
              <w:spacing w:before="120"/>
              <w:jc w:val="center"/>
              <w:rPr>
                <w:rFonts w:ascii="宋体" w:hAnsi="宋体" w:cs="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7E51B476">
            <w:pPr>
              <w:spacing w:before="120"/>
              <w:ind w:left="43"/>
              <w:jc w:val="center"/>
              <w:rPr>
                <w:rFonts w:ascii="宋体" w:hAnsi="宋体" w:cs="宋体"/>
                <w:color w:val="auto"/>
                <w:szCs w:val="21"/>
                <w:highlight w:val="none"/>
              </w:rPr>
            </w:pPr>
          </w:p>
        </w:tc>
        <w:tc>
          <w:tcPr>
            <w:tcW w:w="2699" w:type="dxa"/>
            <w:tcBorders>
              <w:top w:val="single" w:color="auto" w:sz="4" w:space="0"/>
              <w:left w:val="single" w:color="auto" w:sz="4" w:space="0"/>
              <w:bottom w:val="single" w:color="auto" w:sz="4" w:space="0"/>
              <w:right w:val="single" w:color="auto" w:sz="4" w:space="0"/>
            </w:tcBorders>
            <w:noWrap w:val="0"/>
          </w:tcPr>
          <w:p w14:paraId="6E7D222F">
            <w:pPr>
              <w:spacing w:before="120"/>
              <w:ind w:left="43"/>
              <w:jc w:val="center"/>
              <w:rPr>
                <w:rFonts w:ascii="宋体" w:hAnsi="宋体" w:cs="宋体"/>
                <w:color w:val="auto"/>
                <w:szCs w:val="21"/>
                <w:highlight w:val="none"/>
              </w:rPr>
            </w:pPr>
          </w:p>
        </w:tc>
      </w:tr>
      <w:tr w14:paraId="66D786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9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45886E4">
            <w:pPr>
              <w:spacing w:before="120"/>
              <w:rPr>
                <w:rFonts w:hint="default" w:ascii="宋体" w:hAnsi="宋体" w:eastAsia="宋体" w:cs="宋体"/>
                <w:color w:val="auto"/>
                <w:sz w:val="21"/>
                <w:szCs w:val="21"/>
                <w:highlight w:val="none"/>
                <w:lang w:val="en-US" w:eastAsia="zh-CN" w:bidi="ar-SA"/>
              </w:rPr>
            </w:pPr>
          </w:p>
        </w:tc>
        <w:tc>
          <w:tcPr>
            <w:tcW w:w="2502" w:type="dxa"/>
            <w:tcBorders>
              <w:top w:val="single" w:color="auto" w:sz="4" w:space="0"/>
              <w:left w:val="single" w:color="auto" w:sz="4" w:space="0"/>
              <w:bottom w:val="single" w:color="auto" w:sz="4" w:space="0"/>
              <w:right w:val="single" w:color="auto" w:sz="4" w:space="0"/>
            </w:tcBorders>
            <w:noWrap w:val="0"/>
          </w:tcPr>
          <w:p w14:paraId="57C43A94">
            <w:pPr>
              <w:spacing w:before="120"/>
              <w:rPr>
                <w:rFonts w:ascii="宋体" w:hAnsi="宋体" w:cs="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51DFC8E9">
            <w:pPr>
              <w:spacing w:before="120"/>
              <w:ind w:left="43"/>
              <w:jc w:val="center"/>
              <w:rPr>
                <w:rFonts w:ascii="宋体" w:hAnsi="宋体" w:cs="宋体"/>
                <w:color w:val="auto"/>
                <w:szCs w:val="21"/>
                <w:highlight w:val="none"/>
              </w:rPr>
            </w:pPr>
          </w:p>
        </w:tc>
        <w:tc>
          <w:tcPr>
            <w:tcW w:w="2699" w:type="dxa"/>
            <w:tcBorders>
              <w:top w:val="single" w:color="auto" w:sz="4" w:space="0"/>
              <w:left w:val="single" w:color="auto" w:sz="4" w:space="0"/>
              <w:bottom w:val="single" w:color="auto" w:sz="4" w:space="0"/>
              <w:right w:val="single" w:color="auto" w:sz="4" w:space="0"/>
            </w:tcBorders>
            <w:noWrap w:val="0"/>
          </w:tcPr>
          <w:p w14:paraId="0B7ACDDD">
            <w:pPr>
              <w:spacing w:before="120"/>
              <w:ind w:left="43"/>
              <w:jc w:val="center"/>
              <w:rPr>
                <w:rFonts w:ascii="宋体" w:hAnsi="宋体" w:cs="宋体"/>
                <w:color w:val="auto"/>
                <w:szCs w:val="21"/>
                <w:highlight w:val="none"/>
              </w:rPr>
            </w:pPr>
          </w:p>
        </w:tc>
      </w:tr>
      <w:tr w14:paraId="66CEAC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9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AD1AC3B">
            <w:pPr>
              <w:spacing w:before="120"/>
              <w:rPr>
                <w:rFonts w:hint="default" w:ascii="宋体" w:hAnsi="宋体" w:eastAsia="宋体" w:cs="宋体"/>
                <w:color w:val="auto"/>
                <w:sz w:val="21"/>
                <w:szCs w:val="21"/>
                <w:highlight w:val="none"/>
                <w:lang w:val="en-US" w:eastAsia="zh-CN" w:bidi="ar-SA"/>
              </w:rPr>
            </w:pPr>
          </w:p>
        </w:tc>
        <w:tc>
          <w:tcPr>
            <w:tcW w:w="2502" w:type="dxa"/>
            <w:tcBorders>
              <w:top w:val="single" w:color="auto" w:sz="4" w:space="0"/>
              <w:left w:val="single" w:color="auto" w:sz="4" w:space="0"/>
              <w:bottom w:val="single" w:color="auto" w:sz="4" w:space="0"/>
              <w:right w:val="single" w:color="auto" w:sz="4" w:space="0"/>
            </w:tcBorders>
            <w:noWrap w:val="0"/>
          </w:tcPr>
          <w:p w14:paraId="2EF206F7">
            <w:pPr>
              <w:spacing w:before="120"/>
              <w:rPr>
                <w:rFonts w:ascii="宋体" w:hAnsi="宋体" w:cs="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41BFDD29">
            <w:pPr>
              <w:spacing w:before="120"/>
              <w:ind w:left="43"/>
              <w:jc w:val="center"/>
              <w:rPr>
                <w:rFonts w:ascii="宋体" w:hAnsi="宋体" w:cs="宋体"/>
                <w:color w:val="auto"/>
                <w:szCs w:val="21"/>
                <w:highlight w:val="none"/>
              </w:rPr>
            </w:pPr>
          </w:p>
        </w:tc>
        <w:tc>
          <w:tcPr>
            <w:tcW w:w="2699" w:type="dxa"/>
            <w:tcBorders>
              <w:top w:val="single" w:color="auto" w:sz="4" w:space="0"/>
              <w:left w:val="single" w:color="auto" w:sz="4" w:space="0"/>
              <w:bottom w:val="single" w:color="auto" w:sz="4" w:space="0"/>
              <w:right w:val="single" w:color="auto" w:sz="4" w:space="0"/>
            </w:tcBorders>
            <w:noWrap w:val="0"/>
          </w:tcPr>
          <w:p w14:paraId="11AB1A24">
            <w:pPr>
              <w:spacing w:before="120"/>
              <w:ind w:left="43"/>
              <w:jc w:val="center"/>
              <w:rPr>
                <w:rFonts w:ascii="宋体" w:hAnsi="宋体" w:cs="宋体"/>
                <w:color w:val="auto"/>
                <w:szCs w:val="21"/>
                <w:highlight w:val="none"/>
              </w:rPr>
            </w:pPr>
          </w:p>
        </w:tc>
      </w:tr>
      <w:tr w14:paraId="1C3D51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89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30F7715F">
            <w:pPr>
              <w:spacing w:before="120"/>
              <w:rPr>
                <w:rFonts w:hint="default" w:ascii="宋体" w:hAnsi="宋体" w:eastAsia="宋体" w:cs="宋体"/>
                <w:color w:val="auto"/>
                <w:sz w:val="21"/>
                <w:szCs w:val="21"/>
                <w:highlight w:val="none"/>
                <w:lang w:val="en-US" w:eastAsia="zh-CN" w:bidi="ar-SA"/>
              </w:rPr>
            </w:pPr>
          </w:p>
        </w:tc>
        <w:tc>
          <w:tcPr>
            <w:tcW w:w="2502" w:type="dxa"/>
            <w:tcBorders>
              <w:top w:val="single" w:color="auto" w:sz="4" w:space="0"/>
              <w:left w:val="single" w:color="auto" w:sz="4" w:space="0"/>
              <w:bottom w:val="single" w:color="auto" w:sz="4" w:space="0"/>
              <w:right w:val="single" w:color="auto" w:sz="4" w:space="0"/>
            </w:tcBorders>
            <w:noWrap w:val="0"/>
          </w:tcPr>
          <w:p w14:paraId="20EFF762">
            <w:pPr>
              <w:spacing w:before="120"/>
              <w:rPr>
                <w:rFonts w:ascii="宋体" w:hAnsi="宋体" w:cs="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632F1087">
            <w:pPr>
              <w:spacing w:before="120"/>
              <w:jc w:val="center"/>
              <w:rPr>
                <w:rFonts w:ascii="宋体" w:hAnsi="宋体" w:cs="宋体"/>
                <w:color w:val="auto"/>
                <w:szCs w:val="21"/>
                <w:highlight w:val="none"/>
              </w:rPr>
            </w:pPr>
          </w:p>
        </w:tc>
        <w:tc>
          <w:tcPr>
            <w:tcW w:w="2699" w:type="dxa"/>
            <w:tcBorders>
              <w:top w:val="single" w:color="auto" w:sz="4" w:space="0"/>
              <w:left w:val="single" w:color="auto" w:sz="4" w:space="0"/>
              <w:bottom w:val="single" w:color="auto" w:sz="4" w:space="0"/>
              <w:right w:val="single" w:color="auto" w:sz="4" w:space="0"/>
            </w:tcBorders>
            <w:noWrap w:val="0"/>
          </w:tcPr>
          <w:p w14:paraId="5B9DF21D">
            <w:pPr>
              <w:spacing w:before="120"/>
              <w:jc w:val="center"/>
              <w:rPr>
                <w:rFonts w:ascii="宋体" w:hAnsi="宋体" w:cs="宋体"/>
                <w:color w:val="auto"/>
                <w:szCs w:val="21"/>
                <w:highlight w:val="none"/>
              </w:rPr>
            </w:pPr>
          </w:p>
        </w:tc>
      </w:tr>
      <w:tr w14:paraId="63A82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trPr>
        <w:tc>
          <w:tcPr>
            <w:tcW w:w="189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074BDDD6">
            <w:pPr>
              <w:spacing w:before="120"/>
              <w:rPr>
                <w:rFonts w:hint="default" w:ascii="宋体" w:hAnsi="宋体" w:eastAsia="宋体" w:cs="宋体"/>
                <w:color w:val="auto"/>
                <w:sz w:val="21"/>
                <w:szCs w:val="21"/>
                <w:highlight w:val="none"/>
                <w:lang w:val="en-US" w:eastAsia="zh-CN" w:bidi="ar-SA"/>
              </w:rPr>
            </w:pPr>
          </w:p>
        </w:tc>
        <w:tc>
          <w:tcPr>
            <w:tcW w:w="2502" w:type="dxa"/>
            <w:tcBorders>
              <w:top w:val="single" w:color="auto" w:sz="4" w:space="0"/>
              <w:left w:val="single" w:color="auto" w:sz="4" w:space="0"/>
              <w:bottom w:val="single" w:color="auto" w:sz="4" w:space="0"/>
              <w:right w:val="single" w:color="auto" w:sz="4" w:space="0"/>
            </w:tcBorders>
            <w:noWrap w:val="0"/>
          </w:tcPr>
          <w:p w14:paraId="0D8C94AD">
            <w:pPr>
              <w:spacing w:before="120"/>
              <w:rPr>
                <w:rFonts w:ascii="宋体" w:hAnsi="宋体" w:cs="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1AE4F732">
            <w:pPr>
              <w:spacing w:before="120"/>
              <w:jc w:val="center"/>
              <w:rPr>
                <w:rFonts w:ascii="宋体" w:hAnsi="宋体" w:cs="宋体"/>
                <w:color w:val="auto"/>
                <w:szCs w:val="21"/>
                <w:highlight w:val="none"/>
              </w:rPr>
            </w:pPr>
          </w:p>
        </w:tc>
        <w:tc>
          <w:tcPr>
            <w:tcW w:w="2699" w:type="dxa"/>
            <w:tcBorders>
              <w:top w:val="single" w:color="auto" w:sz="4" w:space="0"/>
              <w:left w:val="single" w:color="auto" w:sz="4" w:space="0"/>
              <w:bottom w:val="single" w:color="auto" w:sz="4" w:space="0"/>
              <w:right w:val="single" w:color="auto" w:sz="4" w:space="0"/>
            </w:tcBorders>
            <w:noWrap w:val="0"/>
          </w:tcPr>
          <w:p w14:paraId="5E44CBE6">
            <w:pPr>
              <w:spacing w:before="120"/>
              <w:jc w:val="center"/>
              <w:rPr>
                <w:rFonts w:ascii="宋体" w:hAnsi="宋体" w:cs="宋体"/>
                <w:color w:val="auto"/>
                <w:szCs w:val="21"/>
                <w:highlight w:val="none"/>
              </w:rPr>
            </w:pPr>
          </w:p>
        </w:tc>
      </w:tr>
      <w:tr w14:paraId="298961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80" w:hRule="atLeast"/>
        </w:trPr>
        <w:tc>
          <w:tcPr>
            <w:tcW w:w="189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68600FCF">
            <w:pPr>
              <w:spacing w:before="120"/>
              <w:rPr>
                <w:rFonts w:hint="default" w:ascii="宋体" w:hAnsi="宋体" w:eastAsia="宋体" w:cs="宋体"/>
                <w:color w:val="auto"/>
                <w:sz w:val="21"/>
                <w:szCs w:val="21"/>
                <w:highlight w:val="none"/>
                <w:lang w:val="en-US" w:eastAsia="zh-CN" w:bidi="ar-SA"/>
              </w:rPr>
            </w:pPr>
          </w:p>
        </w:tc>
        <w:tc>
          <w:tcPr>
            <w:tcW w:w="2502"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BEAFE8D">
            <w:pPr>
              <w:spacing w:before="120"/>
              <w:rPr>
                <w:rFonts w:hint="default" w:ascii="宋体" w:hAnsi="宋体" w:eastAsia="宋体" w:cs="宋体"/>
                <w:color w:val="auto"/>
                <w:sz w:val="21"/>
                <w:szCs w:val="21"/>
                <w:highlight w:val="none"/>
                <w:lang w:val="en-US" w:eastAsia="zh-CN" w:bidi="ar-SA"/>
              </w:rPr>
            </w:pPr>
          </w:p>
        </w:tc>
        <w:tc>
          <w:tcPr>
            <w:tcW w:w="1837" w:type="dxa"/>
            <w:tcBorders>
              <w:top w:val="single" w:color="auto" w:sz="4" w:space="0"/>
              <w:left w:val="single" w:color="auto" w:sz="4" w:space="0"/>
              <w:bottom w:val="single" w:color="auto" w:sz="4" w:space="0"/>
              <w:right w:val="single" w:color="auto" w:sz="4" w:space="0"/>
            </w:tcBorders>
            <w:noWrap w:val="0"/>
          </w:tcPr>
          <w:p w14:paraId="41133B1E">
            <w:pPr>
              <w:spacing w:before="120"/>
              <w:jc w:val="center"/>
              <w:rPr>
                <w:rFonts w:ascii="宋体" w:hAnsi="宋体" w:cs="宋体"/>
                <w:color w:val="auto"/>
                <w:szCs w:val="21"/>
                <w:highlight w:val="none"/>
              </w:rPr>
            </w:pPr>
          </w:p>
        </w:tc>
        <w:tc>
          <w:tcPr>
            <w:tcW w:w="2699" w:type="dxa"/>
            <w:tcBorders>
              <w:top w:val="single" w:color="auto" w:sz="4" w:space="0"/>
              <w:left w:val="single" w:color="auto" w:sz="4" w:space="0"/>
              <w:bottom w:val="single" w:color="auto" w:sz="4" w:space="0"/>
              <w:right w:val="single" w:color="auto" w:sz="4" w:space="0"/>
            </w:tcBorders>
            <w:noWrap w:val="0"/>
          </w:tcPr>
          <w:p w14:paraId="314F8896">
            <w:pPr>
              <w:spacing w:before="120"/>
              <w:jc w:val="center"/>
              <w:rPr>
                <w:rFonts w:ascii="宋体" w:hAnsi="宋体" w:cs="宋体"/>
                <w:color w:val="auto"/>
                <w:szCs w:val="21"/>
                <w:highlight w:val="none"/>
              </w:rPr>
            </w:pPr>
          </w:p>
        </w:tc>
      </w:tr>
    </w:tbl>
    <w:p w14:paraId="1E0B1FD8">
      <w:pPr>
        <w:rPr>
          <w:rFonts w:ascii="宋体" w:hAnsi="宋体"/>
          <w:color w:val="auto"/>
          <w:sz w:val="24"/>
          <w:szCs w:val="24"/>
          <w:highlight w:val="none"/>
        </w:rPr>
      </w:pPr>
      <w:r>
        <w:rPr>
          <w:rFonts w:hint="eastAsia" w:ascii="宋体" w:hAnsi="宋体"/>
          <w:color w:val="auto"/>
          <w:sz w:val="24"/>
          <w:szCs w:val="24"/>
          <w:highlight w:val="none"/>
        </w:rPr>
        <w:t>注： 行数不够，可自行添加。</w:t>
      </w:r>
    </w:p>
    <w:p w14:paraId="4361C4DE">
      <w:pPr>
        <w:spacing w:line="480" w:lineRule="auto"/>
        <w:rPr>
          <w:rFonts w:ascii="宋体" w:hAnsi="宋体"/>
          <w:color w:val="auto"/>
          <w:sz w:val="24"/>
          <w:highlight w:val="none"/>
        </w:rPr>
      </w:pPr>
    </w:p>
    <w:bookmarkEnd w:id="56"/>
    <w:bookmarkEnd w:id="57"/>
    <w:p w14:paraId="50CB4C55">
      <w:pPr>
        <w:spacing w:line="480" w:lineRule="auto"/>
        <w:rPr>
          <w:rFonts w:ascii="仿宋_GB2312" w:hAnsi="Arial"/>
          <w:color w:val="auto"/>
          <w:sz w:val="30"/>
          <w:highlight w:val="none"/>
        </w:rPr>
      </w:pPr>
    </w:p>
    <w:p w14:paraId="1ED24BE8">
      <w:pPr>
        <w:pStyle w:val="48"/>
        <w:ind w:firstLine="0"/>
        <w:rPr>
          <w:rFonts w:ascii="宋体" w:hAnsi="宋体"/>
          <w:color w:val="auto"/>
          <w:sz w:val="24"/>
          <w:highlight w:val="none"/>
        </w:rPr>
      </w:pPr>
      <w:bookmarkStart w:id="83" w:name="_Hlt26609389"/>
      <w:bookmarkEnd w:id="83"/>
      <w:bookmarkStart w:id="84" w:name="_Hlt26671374"/>
      <w:bookmarkEnd w:id="84"/>
      <w:bookmarkStart w:id="85" w:name="_Hlt26955066"/>
      <w:bookmarkEnd w:id="85"/>
      <w:bookmarkStart w:id="86" w:name="_Toc462564146"/>
      <w:bookmarkEnd w:id="86"/>
    </w:p>
    <w:p w14:paraId="3DF9B195">
      <w:pPr>
        <w:jc w:val="center"/>
        <w:rPr>
          <w:rFonts w:ascii="黑体" w:hAnsi="黑体" w:eastAsia="黑体"/>
          <w:b/>
          <w:color w:val="auto"/>
          <w:sz w:val="32"/>
          <w:szCs w:val="32"/>
          <w:highlight w:val="none"/>
        </w:rPr>
      </w:pPr>
      <w:bookmarkStart w:id="87" w:name="_格式2__法定代表人授权书"/>
      <w:bookmarkEnd w:id="87"/>
    </w:p>
    <w:p w14:paraId="5056B7AB">
      <w:pPr>
        <w:jc w:val="center"/>
        <w:rPr>
          <w:rFonts w:ascii="黑体" w:hAnsi="黑体" w:eastAsia="黑体"/>
          <w:b/>
          <w:color w:val="auto"/>
          <w:sz w:val="32"/>
          <w:szCs w:val="32"/>
          <w:highlight w:val="none"/>
        </w:rPr>
      </w:pPr>
    </w:p>
    <w:p w14:paraId="5BDFFBCC">
      <w:pPr>
        <w:rPr>
          <w:rFonts w:ascii="黑体" w:hAnsi="黑体" w:eastAsia="黑体"/>
          <w:b/>
          <w:color w:val="auto"/>
          <w:sz w:val="32"/>
          <w:szCs w:val="32"/>
          <w:highlight w:val="none"/>
        </w:rPr>
      </w:pPr>
    </w:p>
    <w:p w14:paraId="11A3BF76">
      <w:pPr>
        <w:rPr>
          <w:rFonts w:ascii="黑体" w:hAnsi="黑体" w:eastAsia="黑体"/>
          <w:b/>
          <w:color w:val="auto"/>
          <w:sz w:val="32"/>
          <w:szCs w:val="32"/>
          <w:highlight w:val="none"/>
        </w:rPr>
      </w:pPr>
    </w:p>
    <w:p w14:paraId="54BE15EC">
      <w:pPr>
        <w:rPr>
          <w:rFonts w:ascii="黑体" w:hAnsi="黑体" w:eastAsia="黑体"/>
          <w:b/>
          <w:color w:val="auto"/>
          <w:sz w:val="32"/>
          <w:szCs w:val="32"/>
          <w:highlight w:val="none"/>
        </w:rPr>
      </w:pPr>
    </w:p>
    <w:p w14:paraId="77C22FC0">
      <w:pPr>
        <w:rPr>
          <w:rFonts w:ascii="黑体" w:hAnsi="黑体" w:eastAsia="黑体"/>
          <w:b/>
          <w:color w:val="auto"/>
          <w:sz w:val="32"/>
          <w:szCs w:val="32"/>
          <w:highlight w:val="none"/>
        </w:rPr>
      </w:pPr>
    </w:p>
    <w:p w14:paraId="20A4CED2">
      <w:pPr>
        <w:rPr>
          <w:rFonts w:ascii="黑体" w:hAnsi="黑体" w:eastAsia="黑体"/>
          <w:b/>
          <w:color w:val="auto"/>
          <w:sz w:val="32"/>
          <w:szCs w:val="32"/>
          <w:highlight w:val="none"/>
        </w:rPr>
      </w:pPr>
    </w:p>
    <w:p w14:paraId="309C0B07">
      <w:pPr>
        <w:rPr>
          <w:rFonts w:ascii="黑体" w:hAnsi="黑体" w:eastAsia="黑体"/>
          <w:b/>
          <w:color w:val="auto"/>
          <w:sz w:val="32"/>
          <w:szCs w:val="32"/>
          <w:highlight w:val="none"/>
        </w:rPr>
      </w:pPr>
    </w:p>
    <w:p w14:paraId="6E4B17DA">
      <w:pPr>
        <w:rPr>
          <w:rFonts w:ascii="黑体" w:hAnsi="黑体" w:eastAsia="黑体"/>
          <w:b/>
          <w:color w:val="auto"/>
          <w:sz w:val="32"/>
          <w:szCs w:val="32"/>
          <w:highlight w:val="none"/>
        </w:rPr>
      </w:pPr>
    </w:p>
    <w:p w14:paraId="077DA4C9">
      <w:pPr>
        <w:rPr>
          <w:rFonts w:ascii="黑体" w:hAnsi="黑体" w:eastAsia="黑体"/>
          <w:b/>
          <w:color w:val="auto"/>
          <w:sz w:val="32"/>
          <w:szCs w:val="32"/>
          <w:highlight w:val="none"/>
        </w:rPr>
      </w:pPr>
    </w:p>
    <w:p w14:paraId="5325FD8F">
      <w:pPr>
        <w:rPr>
          <w:rFonts w:ascii="黑体" w:hAnsi="黑体" w:eastAsia="黑体"/>
          <w:b/>
          <w:color w:val="auto"/>
          <w:sz w:val="32"/>
          <w:szCs w:val="32"/>
          <w:highlight w:val="none"/>
        </w:rPr>
      </w:pPr>
    </w:p>
    <w:p w14:paraId="04E6CE03">
      <w:pPr>
        <w:rPr>
          <w:rFonts w:ascii="黑体" w:hAnsi="黑体" w:eastAsia="黑体"/>
          <w:b/>
          <w:color w:val="auto"/>
          <w:sz w:val="32"/>
          <w:szCs w:val="32"/>
          <w:highlight w:val="none"/>
        </w:rPr>
      </w:pPr>
    </w:p>
    <w:p w14:paraId="58A17376">
      <w:pPr>
        <w:rPr>
          <w:rFonts w:ascii="黑体" w:hAnsi="黑体" w:eastAsia="黑体"/>
          <w:b/>
          <w:color w:val="auto"/>
          <w:sz w:val="32"/>
          <w:szCs w:val="32"/>
          <w:highlight w:val="none"/>
        </w:rPr>
      </w:pPr>
    </w:p>
    <w:p w14:paraId="3659AB86">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r>
    </w:p>
    <w:p w14:paraId="183D125E">
      <w:pPr>
        <w:rPr>
          <w:rFonts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t>十</w:t>
      </w:r>
      <w:r>
        <w:rPr>
          <w:rFonts w:hint="eastAsia" w:ascii="黑体" w:hAnsi="黑体" w:eastAsia="黑体"/>
          <w:b/>
          <w:i/>
          <w:color w:val="auto"/>
          <w:sz w:val="32"/>
          <w:szCs w:val="32"/>
          <w:highlight w:val="none"/>
          <w:u w:val="single"/>
          <w:lang w:val="en-US" w:eastAsia="zh-CN"/>
        </w:rPr>
        <w:t>五</w:t>
      </w:r>
      <w:r>
        <w:rPr>
          <w:rFonts w:hint="eastAsia" w:ascii="黑体" w:hAnsi="黑体" w:eastAsia="黑体"/>
          <w:b/>
          <w:i/>
          <w:color w:val="auto"/>
          <w:sz w:val="32"/>
          <w:szCs w:val="32"/>
          <w:highlight w:val="none"/>
          <w:u w:val="single"/>
        </w:rPr>
        <w:t>、开标一览表</w:t>
      </w:r>
    </w:p>
    <w:p w14:paraId="2F95A99B">
      <w:pPr>
        <w:ind w:firstLine="480"/>
        <w:rPr>
          <w:rFonts w:ascii="宋体" w:hAnsi="宋体"/>
          <w:color w:val="auto"/>
          <w:sz w:val="24"/>
          <w:szCs w:val="24"/>
          <w:highlight w:val="none"/>
        </w:rPr>
      </w:pPr>
      <w:r>
        <w:rPr>
          <w:rFonts w:hint="eastAsia" w:ascii="宋体" w:hAnsi="宋体"/>
          <w:color w:val="auto"/>
          <w:sz w:val="24"/>
          <w:szCs w:val="24"/>
          <w:highlight w:val="none"/>
        </w:rPr>
        <w:t>投标人全称（加盖CA电子签章）：</w:t>
      </w:r>
    </w:p>
    <w:p w14:paraId="38E389A5">
      <w:pPr>
        <w:ind w:firstLine="480"/>
        <w:rPr>
          <w:color w:val="auto"/>
          <w:sz w:val="24"/>
          <w:szCs w:val="24"/>
          <w:highlight w:val="none"/>
        </w:rPr>
      </w:pPr>
      <w:r>
        <w:rPr>
          <w:rFonts w:hint="eastAsia" w:ascii="宋体" w:hAnsi="宋体"/>
          <w:color w:val="auto"/>
          <w:sz w:val="24"/>
          <w:szCs w:val="24"/>
          <w:highlight w:val="none"/>
        </w:rPr>
        <w:t>项目名称：</w:t>
      </w:r>
    </w:p>
    <w:p w14:paraId="3A32474B">
      <w:pPr>
        <w:ind w:firstLine="480"/>
        <w:rPr>
          <w:rFonts w:ascii="宋体" w:hAnsi="宋体"/>
          <w:color w:val="auto"/>
          <w:sz w:val="24"/>
          <w:szCs w:val="24"/>
          <w:highlight w:val="none"/>
        </w:rPr>
      </w:pPr>
      <w:r>
        <w:rPr>
          <w:rFonts w:hint="eastAsia" w:ascii="宋体" w:hAnsi="宋体"/>
          <w:color w:val="auto"/>
          <w:sz w:val="24"/>
          <w:szCs w:val="24"/>
          <w:highlight w:val="none"/>
        </w:rPr>
        <w:t>项目编号：                                   分包号：</w:t>
      </w:r>
    </w:p>
    <w:tbl>
      <w:tblPr>
        <w:tblStyle w:val="38"/>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37810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vAlign w:val="center"/>
          </w:tcPr>
          <w:p w14:paraId="7915BCDD">
            <w:pPr>
              <w:rPr>
                <w:rFonts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投标总报价</w:t>
            </w:r>
          </w:p>
        </w:tc>
      </w:tr>
      <w:tr w14:paraId="04A1B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06" w:type="dxa"/>
            <w:vMerge w:val="restart"/>
            <w:vAlign w:val="center"/>
          </w:tcPr>
          <w:p w14:paraId="50C840BF">
            <w:pPr>
              <w:pStyle w:val="326"/>
              <w:spacing w:before="0" w:after="0" w:line="500" w:lineRule="exact"/>
              <w:ind w:firstLine="0"/>
              <w:rPr>
                <w:rFonts w:ascii="宋体" w:hAnsi="宋体" w:cs="宋体"/>
                <w:color w:val="auto"/>
                <w:highlight w:val="none"/>
              </w:rPr>
            </w:pPr>
            <w:r>
              <w:rPr>
                <w:rFonts w:hint="eastAsia" w:ascii="宋体" w:hAnsi="宋体" w:cs="宋体"/>
                <w:color w:val="auto"/>
                <w:highlight w:val="none"/>
              </w:rPr>
              <w:t>大写：                              （人民币：元）</w:t>
            </w:r>
          </w:p>
        </w:tc>
      </w:tr>
      <w:tr w14:paraId="6EB86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14:paraId="6A5A72D7">
            <w:pPr>
              <w:pStyle w:val="326"/>
              <w:spacing w:before="0" w:after="0" w:line="500" w:lineRule="exact"/>
              <w:ind w:firstLine="0"/>
              <w:rPr>
                <w:rFonts w:ascii="宋体" w:hAnsi="宋体"/>
                <w:color w:val="auto"/>
                <w:szCs w:val="21"/>
                <w:highlight w:val="none"/>
              </w:rPr>
            </w:pPr>
            <w:r>
              <w:rPr>
                <w:rFonts w:hint="eastAsia" w:ascii="宋体" w:hAnsi="宋体" w:cs="宋体"/>
                <w:color w:val="auto"/>
                <w:highlight w:val="none"/>
              </w:rPr>
              <w:t>小写：                             （人民币：元）</w:t>
            </w:r>
          </w:p>
        </w:tc>
      </w:tr>
    </w:tbl>
    <w:p w14:paraId="6ECD492C">
      <w:pPr>
        <w:rPr>
          <w:rFonts w:ascii="宋体" w:hAnsi="宋体"/>
          <w:color w:val="auto"/>
          <w:sz w:val="24"/>
          <w:szCs w:val="24"/>
          <w:highlight w:val="none"/>
        </w:rPr>
      </w:pPr>
    </w:p>
    <w:p w14:paraId="541266ED">
      <w:pPr>
        <w:ind w:firstLine="480"/>
        <w:rPr>
          <w:rFonts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912B3C5">
      <w:pPr>
        <w:ind w:firstLine="480"/>
        <w:rPr>
          <w:rFonts w:ascii="宋体" w:hAnsi="宋体"/>
          <w:color w:val="auto"/>
          <w:sz w:val="24"/>
          <w:szCs w:val="24"/>
          <w:highlight w:val="none"/>
        </w:rPr>
      </w:pPr>
    </w:p>
    <w:p w14:paraId="097EFB41">
      <w:pPr>
        <w:ind w:firstLine="480"/>
        <w:rPr>
          <w:rFonts w:ascii="宋体" w:hAnsi="宋体"/>
          <w:color w:val="auto"/>
          <w:sz w:val="24"/>
          <w:szCs w:val="24"/>
          <w:highlight w:val="none"/>
        </w:rPr>
      </w:pPr>
    </w:p>
    <w:p w14:paraId="16AAD6A8">
      <w:pPr>
        <w:ind w:firstLine="480"/>
        <w:rPr>
          <w:rFonts w:ascii="宋体" w:hAnsi="宋体"/>
          <w:color w:val="auto"/>
          <w:sz w:val="24"/>
          <w:szCs w:val="24"/>
          <w:highlight w:val="none"/>
        </w:rPr>
      </w:pPr>
    </w:p>
    <w:p w14:paraId="28FFB828">
      <w:pPr>
        <w:jc w:val="center"/>
        <w:rPr>
          <w:rFonts w:ascii="宋体" w:hAnsi="宋体" w:cs="仿宋"/>
          <w:b/>
          <w:bCs/>
          <w:color w:val="auto"/>
          <w:sz w:val="32"/>
          <w:szCs w:val="32"/>
          <w:highlight w:val="none"/>
        </w:rPr>
      </w:pPr>
    </w:p>
    <w:p w14:paraId="1478A505">
      <w:pPr>
        <w:jc w:val="center"/>
        <w:rPr>
          <w:rFonts w:ascii="宋体" w:hAnsi="宋体" w:cs="仿宋"/>
          <w:b/>
          <w:bCs/>
          <w:color w:val="auto"/>
          <w:sz w:val="32"/>
          <w:szCs w:val="32"/>
          <w:highlight w:val="none"/>
        </w:rPr>
      </w:pPr>
    </w:p>
    <w:p w14:paraId="3DB9E7F0">
      <w:pPr>
        <w:jc w:val="center"/>
        <w:rPr>
          <w:rFonts w:ascii="宋体" w:hAnsi="宋体" w:cs="仿宋"/>
          <w:b/>
          <w:bCs/>
          <w:color w:val="auto"/>
          <w:sz w:val="32"/>
          <w:szCs w:val="32"/>
          <w:highlight w:val="none"/>
        </w:rPr>
      </w:pPr>
    </w:p>
    <w:p w14:paraId="7E3D6B84">
      <w:pPr>
        <w:jc w:val="center"/>
        <w:rPr>
          <w:rFonts w:ascii="宋体" w:hAnsi="宋体" w:cs="仿宋"/>
          <w:b/>
          <w:bCs/>
          <w:color w:val="auto"/>
          <w:sz w:val="32"/>
          <w:szCs w:val="32"/>
          <w:highlight w:val="none"/>
        </w:rPr>
      </w:pPr>
    </w:p>
    <w:p w14:paraId="3C27346B">
      <w:pPr>
        <w:jc w:val="center"/>
        <w:rPr>
          <w:rFonts w:ascii="宋体" w:hAnsi="宋体" w:cs="仿宋"/>
          <w:b/>
          <w:bCs/>
          <w:color w:val="auto"/>
          <w:sz w:val="32"/>
          <w:szCs w:val="32"/>
          <w:highlight w:val="none"/>
        </w:rPr>
      </w:pPr>
    </w:p>
    <w:p w14:paraId="7B8FF721">
      <w:pPr>
        <w:jc w:val="center"/>
        <w:rPr>
          <w:rFonts w:ascii="宋体" w:hAnsi="宋体" w:cs="仿宋"/>
          <w:b/>
          <w:bCs/>
          <w:color w:val="auto"/>
          <w:sz w:val="32"/>
          <w:szCs w:val="32"/>
          <w:highlight w:val="none"/>
        </w:rPr>
      </w:pPr>
    </w:p>
    <w:p w14:paraId="298FBB8F">
      <w:pPr>
        <w:jc w:val="center"/>
        <w:rPr>
          <w:rFonts w:ascii="宋体" w:hAnsi="宋体" w:cs="仿宋"/>
          <w:b/>
          <w:bCs/>
          <w:color w:val="auto"/>
          <w:sz w:val="32"/>
          <w:szCs w:val="32"/>
          <w:highlight w:val="none"/>
        </w:rPr>
      </w:pPr>
    </w:p>
    <w:p w14:paraId="031CB643">
      <w:pPr>
        <w:jc w:val="center"/>
        <w:rPr>
          <w:rFonts w:ascii="宋体" w:hAnsi="宋体" w:cs="仿宋"/>
          <w:b/>
          <w:bCs/>
          <w:color w:val="auto"/>
          <w:sz w:val="32"/>
          <w:szCs w:val="32"/>
          <w:highlight w:val="none"/>
        </w:rPr>
      </w:pPr>
    </w:p>
    <w:p w14:paraId="2C2A4665">
      <w:pPr>
        <w:jc w:val="center"/>
        <w:rPr>
          <w:rFonts w:ascii="宋体" w:hAnsi="宋体" w:cs="仿宋"/>
          <w:b/>
          <w:bCs/>
          <w:color w:val="auto"/>
          <w:sz w:val="32"/>
          <w:szCs w:val="32"/>
          <w:highlight w:val="none"/>
        </w:rPr>
      </w:pPr>
    </w:p>
    <w:p w14:paraId="0872BB75">
      <w:pPr>
        <w:jc w:val="center"/>
        <w:rPr>
          <w:rFonts w:ascii="宋体" w:hAnsi="宋体" w:cs="仿宋"/>
          <w:b/>
          <w:bCs/>
          <w:color w:val="auto"/>
          <w:sz w:val="32"/>
          <w:szCs w:val="32"/>
          <w:highlight w:val="none"/>
        </w:rPr>
      </w:pPr>
    </w:p>
    <w:p w14:paraId="5ACC1342">
      <w:pPr>
        <w:jc w:val="center"/>
        <w:rPr>
          <w:rFonts w:ascii="宋体" w:hAnsi="宋体" w:cs="仿宋"/>
          <w:b/>
          <w:bCs/>
          <w:color w:val="auto"/>
          <w:sz w:val="32"/>
          <w:szCs w:val="32"/>
          <w:highlight w:val="none"/>
        </w:rPr>
      </w:pPr>
    </w:p>
    <w:p w14:paraId="3F1720DE">
      <w:pPr>
        <w:jc w:val="center"/>
        <w:rPr>
          <w:rFonts w:ascii="宋体" w:hAnsi="宋体" w:cs="仿宋"/>
          <w:b/>
          <w:bCs/>
          <w:color w:val="auto"/>
          <w:sz w:val="32"/>
          <w:szCs w:val="32"/>
          <w:highlight w:val="none"/>
        </w:rPr>
      </w:pPr>
    </w:p>
    <w:p w14:paraId="4BB168BB">
      <w:pPr>
        <w:jc w:val="center"/>
        <w:rPr>
          <w:rFonts w:ascii="宋体" w:hAnsi="宋体" w:cs="仿宋"/>
          <w:b/>
          <w:bCs/>
          <w:color w:val="auto"/>
          <w:sz w:val="32"/>
          <w:szCs w:val="32"/>
          <w:highlight w:val="none"/>
        </w:rPr>
      </w:pPr>
    </w:p>
    <w:p w14:paraId="76613AC9">
      <w:pPr>
        <w:jc w:val="center"/>
        <w:rPr>
          <w:rFonts w:ascii="宋体" w:hAnsi="宋体" w:cs="仿宋"/>
          <w:b/>
          <w:bCs/>
          <w:color w:val="auto"/>
          <w:sz w:val="32"/>
          <w:szCs w:val="32"/>
          <w:highlight w:val="none"/>
        </w:rPr>
      </w:pPr>
    </w:p>
    <w:p w14:paraId="2B06BB57">
      <w:pPr>
        <w:jc w:val="center"/>
        <w:rPr>
          <w:rFonts w:ascii="宋体" w:hAnsi="宋体" w:cs="仿宋"/>
          <w:b/>
          <w:bCs/>
          <w:color w:val="auto"/>
          <w:sz w:val="32"/>
          <w:szCs w:val="32"/>
          <w:highlight w:val="none"/>
        </w:rPr>
      </w:pPr>
    </w:p>
    <w:p w14:paraId="422AD48B">
      <w:pPr>
        <w:jc w:val="center"/>
        <w:rPr>
          <w:rFonts w:ascii="宋体" w:hAnsi="宋体" w:cs="仿宋"/>
          <w:b/>
          <w:bCs/>
          <w:color w:val="auto"/>
          <w:sz w:val="32"/>
          <w:szCs w:val="32"/>
          <w:highlight w:val="none"/>
        </w:rPr>
      </w:pPr>
    </w:p>
    <w:p w14:paraId="534AD367">
      <w:pPr>
        <w:jc w:val="center"/>
        <w:rPr>
          <w:rFonts w:ascii="宋体" w:hAnsi="宋体" w:cs="仿宋"/>
          <w:b/>
          <w:bCs/>
          <w:color w:val="auto"/>
          <w:sz w:val="32"/>
          <w:szCs w:val="32"/>
          <w:highlight w:val="none"/>
        </w:rPr>
      </w:pPr>
    </w:p>
    <w:p w14:paraId="63705F7F">
      <w:pPr>
        <w:jc w:val="center"/>
        <w:rPr>
          <w:rFonts w:ascii="宋体" w:hAnsi="宋体" w:cs="仿宋"/>
          <w:b/>
          <w:bCs/>
          <w:color w:val="auto"/>
          <w:sz w:val="32"/>
          <w:szCs w:val="32"/>
          <w:highlight w:val="none"/>
        </w:rPr>
      </w:pPr>
    </w:p>
    <w:p w14:paraId="22EB7E4E">
      <w:pPr>
        <w:jc w:val="center"/>
        <w:rPr>
          <w:rFonts w:ascii="宋体" w:hAnsi="宋体" w:cs="仿宋"/>
          <w:b/>
          <w:bCs/>
          <w:color w:val="auto"/>
          <w:sz w:val="32"/>
          <w:szCs w:val="32"/>
          <w:highlight w:val="none"/>
        </w:rPr>
      </w:pPr>
    </w:p>
    <w:p w14:paraId="2EACCDAA">
      <w:pPr>
        <w:pStyle w:val="49"/>
        <w:rPr>
          <w:rFonts w:ascii="宋体" w:hAnsi="宋体" w:cs="仿宋"/>
          <w:b/>
          <w:bCs/>
          <w:color w:val="auto"/>
          <w:sz w:val="32"/>
          <w:szCs w:val="32"/>
          <w:highlight w:val="none"/>
        </w:rPr>
      </w:pPr>
    </w:p>
    <w:p w14:paraId="70443DA8">
      <w:pPr>
        <w:rPr>
          <w:color w:val="auto"/>
          <w:highlight w:val="none"/>
        </w:rPr>
      </w:pPr>
    </w:p>
    <w:p w14:paraId="0A7D2B31">
      <w:pPr>
        <w:jc w:val="center"/>
        <w:rPr>
          <w:rFonts w:ascii="宋体" w:hAnsi="宋体" w:cs="仿宋"/>
          <w:b/>
          <w:bCs/>
          <w:color w:val="auto"/>
          <w:sz w:val="32"/>
          <w:szCs w:val="32"/>
          <w:highlight w:val="none"/>
        </w:rPr>
      </w:pPr>
    </w:p>
    <w:p w14:paraId="20D6C1A4">
      <w:pPr>
        <w:rPr>
          <w:rFonts w:ascii="黑体" w:hAnsi="黑体" w:eastAsia="黑体"/>
          <w:b/>
          <w:i w:val="0"/>
          <w:iCs/>
          <w:color w:val="auto"/>
          <w:sz w:val="32"/>
          <w:szCs w:val="32"/>
          <w:highlight w:val="none"/>
          <w:u w:val="none"/>
        </w:rPr>
      </w:pPr>
      <w:r>
        <w:rPr>
          <w:rFonts w:hint="eastAsia" w:ascii="黑体" w:hAnsi="黑体" w:eastAsia="黑体"/>
          <w:b/>
          <w:i w:val="0"/>
          <w:iCs/>
          <w:color w:val="auto"/>
          <w:sz w:val="32"/>
          <w:szCs w:val="32"/>
          <w:highlight w:val="none"/>
          <w:u w:val="none"/>
        </w:rPr>
        <w:t>十六、主要标的信息</w:t>
      </w:r>
    </w:p>
    <w:p w14:paraId="400FCA68">
      <w:pPr>
        <w:spacing w:before="312" w:line="360" w:lineRule="auto"/>
        <w:jc w:val="center"/>
        <w:rPr>
          <w:rFonts w:ascii="宋体" w:hAnsi="宋体"/>
          <w:b/>
          <w:color w:val="auto"/>
          <w:highlight w:val="none"/>
        </w:rPr>
      </w:pPr>
      <w:r>
        <w:rPr>
          <w:rFonts w:hint="eastAsia" w:ascii="宋体" w:hAnsi="宋体"/>
          <w:b/>
          <w:color w:val="auto"/>
          <w:highlight w:val="none"/>
        </w:rPr>
        <w:t>主要标的信息（中标后将公示）</w:t>
      </w:r>
    </w:p>
    <w:p w14:paraId="345451E3">
      <w:pPr>
        <w:spacing w:after="312" w:line="360" w:lineRule="auto"/>
        <w:rPr>
          <w:rFonts w:ascii="宋体" w:hAnsi="宋体"/>
          <w:b/>
          <w:color w:val="auto"/>
          <w:highlight w:val="none"/>
        </w:rPr>
      </w:pPr>
      <w:r>
        <w:rPr>
          <w:rFonts w:hint="eastAsia" w:ascii="宋体" w:hAnsi="宋体"/>
          <w:color w:val="auto"/>
          <w:highlight w:val="none"/>
        </w:rPr>
        <w:t>投标人全称：</w:t>
      </w:r>
    </w:p>
    <w:tbl>
      <w:tblPr>
        <w:tblStyle w:val="38"/>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1"/>
        <w:gridCol w:w="3780"/>
      </w:tblGrid>
      <w:tr w14:paraId="771B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01" w:type="dxa"/>
          </w:tcPr>
          <w:p w14:paraId="4CAA3094">
            <w:pPr>
              <w:jc w:val="center"/>
              <w:rPr>
                <w:rFonts w:ascii="宋体" w:hAnsi="宋体" w:cs="宋体"/>
                <w:color w:val="auto"/>
                <w:highlight w:val="none"/>
              </w:rPr>
            </w:pPr>
            <w:r>
              <w:rPr>
                <w:rFonts w:hint="eastAsia" w:ascii="宋体" w:hAnsi="宋体" w:cs="宋体"/>
                <w:color w:val="auto"/>
                <w:highlight w:val="none"/>
              </w:rPr>
              <w:t>货物类</w:t>
            </w:r>
          </w:p>
        </w:tc>
        <w:tc>
          <w:tcPr>
            <w:tcW w:w="3780" w:type="dxa"/>
          </w:tcPr>
          <w:p w14:paraId="61C52FCC">
            <w:pPr>
              <w:jc w:val="center"/>
              <w:rPr>
                <w:rFonts w:ascii="宋体" w:hAnsi="宋体" w:cs="宋体"/>
                <w:color w:val="auto"/>
                <w:highlight w:val="none"/>
              </w:rPr>
            </w:pPr>
            <w:r>
              <w:rPr>
                <w:rFonts w:hint="eastAsia" w:ascii="宋体" w:hAnsi="宋体" w:cs="宋体"/>
                <w:color w:val="auto"/>
                <w:highlight w:val="none"/>
              </w:rPr>
              <w:t>服务类</w:t>
            </w:r>
          </w:p>
        </w:tc>
      </w:tr>
      <w:tr w14:paraId="5CD8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0" w:hRule="atLeast"/>
        </w:trPr>
        <w:tc>
          <w:tcPr>
            <w:tcW w:w="3901" w:type="dxa"/>
          </w:tcPr>
          <w:p w14:paraId="3AFCFC04">
            <w:pPr>
              <w:spacing w:line="360" w:lineRule="auto"/>
              <w:rPr>
                <w:rFonts w:ascii="宋体" w:hAnsi="宋体" w:cs="宋体"/>
                <w:color w:val="auto"/>
                <w:highlight w:val="none"/>
              </w:rPr>
            </w:pPr>
            <w:r>
              <w:rPr>
                <w:rFonts w:hint="eastAsia" w:ascii="宋体" w:hAnsi="宋体" w:cs="宋体"/>
                <w:color w:val="auto"/>
                <w:highlight w:val="none"/>
              </w:rPr>
              <w:t>名称：</w:t>
            </w:r>
          </w:p>
          <w:p w14:paraId="70FA3544">
            <w:pPr>
              <w:spacing w:line="360" w:lineRule="auto"/>
              <w:rPr>
                <w:rFonts w:ascii="宋体" w:hAnsi="宋体" w:cs="宋体"/>
                <w:color w:val="auto"/>
                <w:highlight w:val="none"/>
              </w:rPr>
            </w:pPr>
            <w:r>
              <w:rPr>
                <w:rFonts w:hint="eastAsia" w:ascii="宋体" w:hAnsi="宋体" w:cs="宋体"/>
                <w:color w:val="auto"/>
                <w:highlight w:val="none"/>
              </w:rPr>
              <w:t>品牌（如有）：</w:t>
            </w:r>
          </w:p>
          <w:p w14:paraId="4383EAFA">
            <w:pPr>
              <w:spacing w:line="360" w:lineRule="auto"/>
              <w:rPr>
                <w:rFonts w:ascii="宋体" w:hAnsi="宋体" w:cs="宋体"/>
                <w:color w:val="auto"/>
                <w:highlight w:val="none"/>
              </w:rPr>
            </w:pPr>
            <w:r>
              <w:rPr>
                <w:rFonts w:hint="eastAsia" w:ascii="宋体" w:hAnsi="宋体" w:cs="宋体"/>
                <w:color w:val="auto"/>
                <w:highlight w:val="none"/>
              </w:rPr>
              <w:t>规格型号：</w:t>
            </w:r>
          </w:p>
          <w:p w14:paraId="71D03BB9">
            <w:pPr>
              <w:spacing w:line="360" w:lineRule="auto"/>
              <w:rPr>
                <w:rFonts w:ascii="宋体" w:hAnsi="宋体" w:cs="宋体"/>
                <w:color w:val="auto"/>
                <w:highlight w:val="none"/>
              </w:rPr>
            </w:pPr>
            <w:r>
              <w:rPr>
                <w:rFonts w:hint="eastAsia" w:ascii="宋体" w:hAnsi="宋体" w:cs="宋体"/>
                <w:color w:val="auto"/>
                <w:highlight w:val="none"/>
              </w:rPr>
              <w:t>数量：</w:t>
            </w:r>
          </w:p>
          <w:p w14:paraId="22B21107">
            <w:pPr>
              <w:spacing w:line="360" w:lineRule="auto"/>
              <w:rPr>
                <w:rFonts w:ascii="宋体" w:hAnsi="宋体" w:cs="宋体"/>
                <w:color w:val="auto"/>
                <w:highlight w:val="none"/>
              </w:rPr>
            </w:pPr>
            <w:r>
              <w:rPr>
                <w:rFonts w:hint="eastAsia" w:ascii="宋体" w:hAnsi="宋体" w:cs="宋体"/>
                <w:color w:val="auto"/>
                <w:highlight w:val="none"/>
              </w:rPr>
              <w:t>单价：</w:t>
            </w:r>
          </w:p>
        </w:tc>
        <w:tc>
          <w:tcPr>
            <w:tcW w:w="3780" w:type="dxa"/>
          </w:tcPr>
          <w:p w14:paraId="795246D0">
            <w:pPr>
              <w:spacing w:line="360" w:lineRule="auto"/>
              <w:rPr>
                <w:rFonts w:ascii="宋体" w:hAnsi="宋体" w:cs="宋体"/>
                <w:color w:val="auto"/>
                <w:highlight w:val="none"/>
              </w:rPr>
            </w:pPr>
            <w:r>
              <w:rPr>
                <w:rFonts w:hint="eastAsia" w:ascii="宋体" w:hAnsi="宋体" w:cs="宋体"/>
                <w:color w:val="auto"/>
                <w:highlight w:val="none"/>
              </w:rPr>
              <w:t>名称：</w:t>
            </w:r>
          </w:p>
          <w:p w14:paraId="7DAC2A2C">
            <w:pPr>
              <w:spacing w:line="360" w:lineRule="auto"/>
              <w:rPr>
                <w:rFonts w:ascii="宋体" w:hAnsi="宋体" w:cs="宋体"/>
                <w:color w:val="auto"/>
                <w:highlight w:val="none"/>
              </w:rPr>
            </w:pPr>
            <w:r>
              <w:rPr>
                <w:rFonts w:hint="eastAsia" w:ascii="宋体" w:hAnsi="宋体" w:cs="宋体"/>
                <w:color w:val="auto"/>
                <w:highlight w:val="none"/>
              </w:rPr>
              <w:t>服务范围：</w:t>
            </w:r>
          </w:p>
          <w:p w14:paraId="0969CB62">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4D7B0C49">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707050D1">
            <w:pPr>
              <w:spacing w:line="360" w:lineRule="auto"/>
              <w:rPr>
                <w:rFonts w:ascii="宋体" w:hAnsi="宋体" w:cs="宋体"/>
                <w:color w:val="auto"/>
                <w:highlight w:val="none"/>
              </w:rPr>
            </w:pPr>
            <w:r>
              <w:rPr>
                <w:rFonts w:hint="eastAsia" w:ascii="宋体" w:hAnsi="宋体" w:cs="宋体"/>
                <w:color w:val="auto"/>
                <w:highlight w:val="none"/>
              </w:rPr>
              <w:t>服务标准：</w:t>
            </w:r>
          </w:p>
        </w:tc>
      </w:tr>
    </w:tbl>
    <w:p w14:paraId="634924FB">
      <w:pPr>
        <w:jc w:val="center"/>
        <w:rPr>
          <w:rFonts w:ascii="宋体" w:hAnsi="宋体" w:cs="仿宋"/>
          <w:b/>
          <w:bCs/>
          <w:color w:val="auto"/>
          <w:sz w:val="32"/>
          <w:szCs w:val="32"/>
          <w:highlight w:val="none"/>
        </w:rPr>
      </w:pPr>
    </w:p>
    <w:p w14:paraId="1F84260D">
      <w:pPr>
        <w:jc w:val="center"/>
        <w:rPr>
          <w:rFonts w:ascii="宋体" w:hAnsi="宋体" w:cs="仿宋"/>
          <w:b/>
          <w:bCs/>
          <w:color w:val="auto"/>
          <w:sz w:val="32"/>
          <w:szCs w:val="32"/>
          <w:highlight w:val="none"/>
        </w:rPr>
      </w:pPr>
    </w:p>
    <w:p w14:paraId="3B5672C4">
      <w:pPr>
        <w:jc w:val="center"/>
        <w:rPr>
          <w:rFonts w:ascii="宋体" w:hAnsi="宋体" w:cs="仿宋"/>
          <w:b/>
          <w:bCs/>
          <w:color w:val="auto"/>
          <w:sz w:val="32"/>
          <w:szCs w:val="32"/>
          <w:highlight w:val="none"/>
        </w:rPr>
      </w:pPr>
    </w:p>
    <w:p w14:paraId="6A5398DD">
      <w:pPr>
        <w:jc w:val="center"/>
        <w:rPr>
          <w:rFonts w:ascii="宋体" w:hAnsi="宋体" w:cs="仿宋"/>
          <w:b/>
          <w:bCs/>
          <w:color w:val="auto"/>
          <w:sz w:val="32"/>
          <w:szCs w:val="32"/>
          <w:highlight w:val="none"/>
        </w:rPr>
      </w:pPr>
    </w:p>
    <w:p w14:paraId="3944FD6B">
      <w:pPr>
        <w:jc w:val="center"/>
        <w:rPr>
          <w:rFonts w:ascii="宋体" w:hAnsi="宋体" w:cs="仿宋"/>
          <w:b/>
          <w:bCs/>
          <w:color w:val="auto"/>
          <w:sz w:val="32"/>
          <w:szCs w:val="32"/>
          <w:highlight w:val="none"/>
        </w:rPr>
      </w:pPr>
    </w:p>
    <w:p w14:paraId="2B3FFB08">
      <w:pPr>
        <w:jc w:val="center"/>
        <w:rPr>
          <w:rFonts w:ascii="宋体" w:hAnsi="宋体" w:cs="仿宋"/>
          <w:b/>
          <w:bCs/>
          <w:color w:val="auto"/>
          <w:sz w:val="32"/>
          <w:szCs w:val="32"/>
          <w:highlight w:val="none"/>
        </w:rPr>
      </w:pPr>
    </w:p>
    <w:p w14:paraId="6E59E594">
      <w:pPr>
        <w:jc w:val="center"/>
        <w:rPr>
          <w:rFonts w:ascii="宋体" w:hAnsi="宋体" w:cs="仿宋"/>
          <w:b/>
          <w:bCs/>
          <w:color w:val="auto"/>
          <w:sz w:val="32"/>
          <w:szCs w:val="32"/>
          <w:highlight w:val="none"/>
        </w:rPr>
      </w:pPr>
    </w:p>
    <w:p w14:paraId="2308B509">
      <w:pPr>
        <w:jc w:val="center"/>
        <w:rPr>
          <w:rFonts w:ascii="宋体" w:hAnsi="宋体" w:cs="仿宋"/>
          <w:b/>
          <w:bCs/>
          <w:color w:val="auto"/>
          <w:sz w:val="32"/>
          <w:szCs w:val="32"/>
          <w:highlight w:val="none"/>
        </w:rPr>
      </w:pPr>
    </w:p>
    <w:p w14:paraId="481712C4">
      <w:pPr>
        <w:jc w:val="center"/>
        <w:rPr>
          <w:rFonts w:ascii="宋体" w:hAnsi="宋体" w:cs="仿宋"/>
          <w:b/>
          <w:bCs/>
          <w:color w:val="auto"/>
          <w:sz w:val="32"/>
          <w:szCs w:val="32"/>
          <w:highlight w:val="none"/>
        </w:rPr>
      </w:pPr>
    </w:p>
    <w:p w14:paraId="1EDDFA8E">
      <w:pPr>
        <w:jc w:val="center"/>
        <w:rPr>
          <w:rFonts w:ascii="宋体" w:hAnsi="宋体" w:cs="仿宋"/>
          <w:b/>
          <w:bCs/>
          <w:color w:val="auto"/>
          <w:sz w:val="32"/>
          <w:szCs w:val="32"/>
          <w:highlight w:val="none"/>
        </w:rPr>
      </w:pPr>
    </w:p>
    <w:p w14:paraId="56ED9230">
      <w:pPr>
        <w:jc w:val="center"/>
        <w:rPr>
          <w:rFonts w:ascii="宋体" w:hAnsi="宋体" w:cs="仿宋"/>
          <w:b/>
          <w:bCs/>
          <w:color w:val="auto"/>
          <w:sz w:val="32"/>
          <w:szCs w:val="32"/>
          <w:highlight w:val="none"/>
        </w:rPr>
      </w:pPr>
    </w:p>
    <w:p w14:paraId="3512D136">
      <w:pPr>
        <w:jc w:val="center"/>
        <w:rPr>
          <w:rFonts w:ascii="宋体" w:hAnsi="宋体" w:cs="仿宋"/>
          <w:b/>
          <w:bCs/>
          <w:color w:val="auto"/>
          <w:sz w:val="32"/>
          <w:szCs w:val="32"/>
          <w:highlight w:val="none"/>
        </w:rPr>
      </w:pPr>
    </w:p>
    <w:p w14:paraId="063F7239">
      <w:pPr>
        <w:jc w:val="center"/>
        <w:rPr>
          <w:rFonts w:ascii="宋体" w:hAnsi="宋体" w:cs="仿宋"/>
          <w:b/>
          <w:bCs/>
          <w:color w:val="auto"/>
          <w:sz w:val="32"/>
          <w:szCs w:val="32"/>
          <w:highlight w:val="none"/>
        </w:rPr>
      </w:pPr>
    </w:p>
    <w:p w14:paraId="6D722A83">
      <w:pPr>
        <w:jc w:val="center"/>
        <w:rPr>
          <w:rFonts w:ascii="宋体" w:hAnsi="宋体" w:cs="仿宋"/>
          <w:b/>
          <w:bCs/>
          <w:color w:val="auto"/>
          <w:sz w:val="32"/>
          <w:szCs w:val="32"/>
          <w:highlight w:val="none"/>
        </w:rPr>
      </w:pPr>
    </w:p>
    <w:p w14:paraId="09EF4FDF">
      <w:pPr>
        <w:jc w:val="center"/>
        <w:rPr>
          <w:rFonts w:ascii="宋体" w:hAnsi="宋体" w:cs="仿宋"/>
          <w:b/>
          <w:bCs/>
          <w:color w:val="auto"/>
          <w:sz w:val="32"/>
          <w:szCs w:val="32"/>
          <w:highlight w:val="none"/>
        </w:rPr>
      </w:pPr>
    </w:p>
    <w:p w14:paraId="12BB76A9">
      <w:pPr>
        <w:jc w:val="center"/>
        <w:rPr>
          <w:rFonts w:ascii="宋体" w:hAnsi="宋体" w:cs="仿宋"/>
          <w:b/>
          <w:bCs/>
          <w:color w:val="auto"/>
          <w:sz w:val="32"/>
          <w:szCs w:val="32"/>
          <w:highlight w:val="none"/>
        </w:rPr>
      </w:pPr>
    </w:p>
    <w:p w14:paraId="6BC7C881">
      <w:pPr>
        <w:jc w:val="center"/>
        <w:rPr>
          <w:rFonts w:ascii="宋体" w:hAnsi="宋体" w:cs="仿宋"/>
          <w:b/>
          <w:bCs/>
          <w:color w:val="auto"/>
          <w:sz w:val="32"/>
          <w:szCs w:val="32"/>
          <w:highlight w:val="none"/>
        </w:rPr>
      </w:pPr>
    </w:p>
    <w:p w14:paraId="7F2E97DA">
      <w:pPr>
        <w:jc w:val="center"/>
        <w:rPr>
          <w:rFonts w:ascii="宋体" w:hAnsi="宋体" w:cs="仿宋"/>
          <w:b/>
          <w:bCs/>
          <w:color w:val="auto"/>
          <w:sz w:val="32"/>
          <w:szCs w:val="32"/>
          <w:highlight w:val="none"/>
        </w:rPr>
      </w:pPr>
    </w:p>
    <w:p w14:paraId="53FCDA1F">
      <w:pPr>
        <w:jc w:val="center"/>
        <w:rPr>
          <w:rFonts w:ascii="宋体" w:hAnsi="宋体" w:cs="仿宋"/>
          <w:b/>
          <w:bCs/>
          <w:color w:val="auto"/>
          <w:sz w:val="32"/>
          <w:szCs w:val="32"/>
          <w:highlight w:val="none"/>
        </w:rPr>
      </w:pPr>
    </w:p>
    <w:p w14:paraId="2C376153">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19999847">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7566FB8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629E39A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75AA6AE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05CDF638">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2B21631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7DD5430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311FFB9A">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61602C31">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1498E60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58B36DF4">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01FEC0F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2C26C33C">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529EC7A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7818B63E">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37479D81">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574C32C4">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64DF3330">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65923482">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23C1A96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08E0D813">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4851B11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7262C39B">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721454F3">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510F9817">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7F72C6CD">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28242D3F">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69A95829">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01EE525E">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50C66293">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79083E91">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6AC7C51D">
      <w:pPr>
        <w:pStyle w:val="48"/>
        <w:rPr>
          <w:color w:val="auto"/>
          <w:sz w:val="24"/>
          <w:szCs w:val="24"/>
          <w:highlight w:val="none"/>
        </w:rPr>
      </w:pPr>
    </w:p>
    <w:p w14:paraId="6B9CFE6E">
      <w:pPr>
        <w:pStyle w:val="48"/>
        <w:rPr>
          <w:color w:val="auto"/>
          <w:sz w:val="24"/>
          <w:szCs w:val="24"/>
          <w:highlight w:val="none"/>
        </w:rPr>
      </w:pPr>
    </w:p>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altName w:val="微软雅黑"/>
    <w:panose1 w:val="03000509000000000000"/>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Microsoft New Tai Lue">
    <w:panose1 w:val="020B0502040204020203"/>
    <w:charset w:val="00"/>
    <w:family w:val="swiss"/>
    <w:pitch w:val="default"/>
    <w:sig w:usb0="00000003" w:usb1="00000000" w:usb2="80000000" w:usb3="00000000" w:csb0="00000001" w:csb1="00000000"/>
  </w:font>
  <w:font w:name="方正仿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8107E">
    <w:pPr>
      <w:pStyle w:val="274"/>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4F72D">
                          <w:pPr>
                            <w:pStyle w:val="274"/>
                            <w:rPr>
                              <w:rStyle w:val="262"/>
                              <w:rFonts w:ascii="宋体" w:hAnsi="宋体"/>
                            </w:rPr>
                          </w:pPr>
                          <w:r>
                            <w:rPr>
                              <w:rFonts w:ascii="宋体" w:hAnsi="宋体"/>
                            </w:rPr>
                            <w:fldChar w:fldCharType="begin"/>
                          </w:r>
                          <w:r>
                            <w:rPr>
                              <w:rStyle w:val="262"/>
                              <w:rFonts w:ascii="宋体" w:hAnsi="宋体"/>
                            </w:rPr>
                            <w:instrText xml:space="preserve">PAGE  </w:instrText>
                          </w:r>
                          <w:r>
                            <w:rPr>
                              <w:rFonts w:ascii="宋体" w:hAnsi="宋体"/>
                            </w:rPr>
                            <w:fldChar w:fldCharType="separate"/>
                          </w:r>
                          <w:r>
                            <w:rPr>
                              <w:rStyle w:val="262"/>
                              <w:rFonts w:ascii="宋体" w:hAnsi="宋体"/>
                            </w:rPr>
                            <w:t>2</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B4F72D">
                    <w:pPr>
                      <w:pStyle w:val="274"/>
                      <w:rPr>
                        <w:rStyle w:val="262"/>
                        <w:rFonts w:ascii="宋体" w:hAnsi="宋体"/>
                      </w:rPr>
                    </w:pPr>
                    <w:r>
                      <w:rPr>
                        <w:rFonts w:ascii="宋体" w:hAnsi="宋体"/>
                      </w:rPr>
                      <w:fldChar w:fldCharType="begin"/>
                    </w:r>
                    <w:r>
                      <w:rPr>
                        <w:rStyle w:val="262"/>
                        <w:rFonts w:ascii="宋体" w:hAnsi="宋体"/>
                      </w:rPr>
                      <w:instrText xml:space="preserve">PAGE  </w:instrText>
                    </w:r>
                    <w:r>
                      <w:rPr>
                        <w:rFonts w:ascii="宋体" w:hAnsi="宋体"/>
                      </w:rPr>
                      <w:fldChar w:fldCharType="separate"/>
                    </w:r>
                    <w:r>
                      <w:rPr>
                        <w:rStyle w:val="262"/>
                        <w:rFonts w:ascii="宋体" w:hAnsi="宋体"/>
                      </w:rPr>
                      <w:t>2</w:t>
                    </w:r>
                    <w:r>
                      <w:rPr>
                        <w:rFonts w:ascii="宋体" w:hAnsi="宋体"/>
                      </w:rP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C486">
    <w:pPr>
      <w:pStyle w:val="26"/>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789B36">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1789B36">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2638B">
    <w:pPr>
      <w:pStyle w:val="26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2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7"/>
      <w:suff w:val="nothing"/>
      <w:lvlText w:val=""/>
      <w:lvlJc w:val="left"/>
      <w:pPr>
        <w:ind w:left="0" w:firstLine="0"/>
      </w:pPr>
      <w:rPr>
        <w:rFonts w:hint="eastAsia"/>
      </w:rPr>
    </w:lvl>
    <w:lvl w:ilvl="6" w:tentative="0">
      <w:start w:val="1"/>
      <w:numFmt w:val="decimal"/>
      <w:pStyle w:val="238"/>
      <w:suff w:val="nothing"/>
      <w:lvlText w:val=""/>
      <w:lvlJc w:val="left"/>
      <w:pPr>
        <w:ind w:left="0" w:firstLine="0"/>
      </w:pPr>
      <w:rPr>
        <w:rFonts w:hint="eastAsia"/>
      </w:rPr>
    </w:lvl>
    <w:lvl w:ilvl="7" w:tentative="0">
      <w:start w:val="1"/>
      <w:numFmt w:val="decimal"/>
      <w:pStyle w:val="239"/>
      <w:suff w:val="nothing"/>
      <w:lvlText w:val=""/>
      <w:lvlJc w:val="left"/>
      <w:pPr>
        <w:ind w:left="0" w:firstLine="0"/>
      </w:pPr>
      <w:rPr>
        <w:rFonts w:hint="eastAsia"/>
      </w:rPr>
    </w:lvl>
    <w:lvl w:ilvl="8" w:tentative="0">
      <w:start w:val="1"/>
      <w:numFmt w:val="decimal"/>
      <w:pStyle w:val="240"/>
      <w:suff w:val="nothing"/>
      <w:lvlText w:val=""/>
      <w:lvlJc w:val="left"/>
      <w:pPr>
        <w:ind w:left="0" w:firstLine="0"/>
      </w:pPr>
      <w:rPr>
        <w:rFonts w:hint="eastAsia"/>
      </w:rPr>
    </w:lvl>
  </w:abstractNum>
  <w:abstractNum w:abstractNumId="3">
    <w:nsid w:val="EFC1F47D"/>
    <w:multiLevelType w:val="singleLevel"/>
    <w:tmpl w:val="EFC1F47D"/>
    <w:lvl w:ilvl="0" w:tentative="0">
      <w:start w:val="1"/>
      <w:numFmt w:val="decimal"/>
      <w:suff w:val="nothing"/>
      <w:lvlText w:val="%1、"/>
      <w:lvlJc w:val="left"/>
    </w:lvl>
  </w:abstractNum>
  <w:abstractNum w:abstractNumId="4">
    <w:nsid w:val="0053208E"/>
    <w:multiLevelType w:val="multilevel"/>
    <w:tmpl w:val="0053208E"/>
    <w:lvl w:ilvl="0" w:tentative="0">
      <w:start w:val="1"/>
      <w:numFmt w:val="bullet"/>
      <w:pStyle w:val="19"/>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D4DC07F"/>
    <w:multiLevelType w:val="multilevel"/>
    <w:tmpl w:val="4D4DC07F"/>
    <w:lvl w:ilvl="0" w:tentative="0">
      <w:start w:val="1"/>
      <w:numFmt w:val="bullet"/>
      <w:pStyle w:val="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9ADCABA"/>
    <w:multiLevelType w:val="multilevel"/>
    <w:tmpl w:val="59ADCABA"/>
    <w:lvl w:ilvl="0" w:tentative="0">
      <w:start w:val="1"/>
      <w:numFmt w:val="upperLetter"/>
      <w:pStyle w:val="31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CF489A2"/>
    <w:multiLevelType w:val="singleLevel"/>
    <w:tmpl w:val="7CF489A2"/>
    <w:lvl w:ilvl="0" w:tentative="0">
      <w:start w:val="2"/>
      <w:numFmt w:val="decimal"/>
      <w:lvlText w:val="%1."/>
      <w:lvlJc w:val="left"/>
      <w:pPr>
        <w:tabs>
          <w:tab w:val="left" w:pos="312"/>
        </w:tabs>
      </w:pPr>
    </w:lvl>
  </w:abstractNum>
  <w:num w:numId="1">
    <w:abstractNumId w:val="6"/>
  </w:num>
  <w:num w:numId="2">
    <w:abstractNumId w:val="4"/>
  </w:num>
  <w:num w:numId="3">
    <w:abstractNumId w:val="2"/>
  </w:num>
  <w:num w:numId="4">
    <w:abstractNumId w:val="7"/>
  </w:num>
  <w:num w:numId="5">
    <w:abstractNumId w:val="1"/>
  </w:num>
  <w:num w:numId="6">
    <w:abstractNumId w:val="0"/>
  </w:num>
  <w:num w:numId="7">
    <w:abstractNumId w:val="8"/>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0MTFmYzZmZDM2ZGViNDAyYTRhODI2YzUyYjg2ZjMifQ=="/>
  </w:docVars>
  <w:rsids>
    <w:rsidRoot w:val="00000000"/>
    <w:rsid w:val="00CD3EF7"/>
    <w:rsid w:val="00D050DC"/>
    <w:rsid w:val="01657B6E"/>
    <w:rsid w:val="033C7E57"/>
    <w:rsid w:val="034D2673"/>
    <w:rsid w:val="03AD764F"/>
    <w:rsid w:val="03E72B61"/>
    <w:rsid w:val="04DA4474"/>
    <w:rsid w:val="05145BD8"/>
    <w:rsid w:val="05C84C14"/>
    <w:rsid w:val="062736E9"/>
    <w:rsid w:val="07DD6ABC"/>
    <w:rsid w:val="08D37B58"/>
    <w:rsid w:val="09681ABB"/>
    <w:rsid w:val="0AB6328D"/>
    <w:rsid w:val="0C087B18"/>
    <w:rsid w:val="0DF66B8C"/>
    <w:rsid w:val="0DF838A5"/>
    <w:rsid w:val="0E31274F"/>
    <w:rsid w:val="0F7D25CB"/>
    <w:rsid w:val="0FE07DB5"/>
    <w:rsid w:val="0FE360C4"/>
    <w:rsid w:val="11370628"/>
    <w:rsid w:val="116662E4"/>
    <w:rsid w:val="118B5473"/>
    <w:rsid w:val="13294F44"/>
    <w:rsid w:val="1735337C"/>
    <w:rsid w:val="18E254E0"/>
    <w:rsid w:val="1A7B3BAB"/>
    <w:rsid w:val="1D360605"/>
    <w:rsid w:val="20B6593D"/>
    <w:rsid w:val="211573C2"/>
    <w:rsid w:val="22A82BC6"/>
    <w:rsid w:val="235A170F"/>
    <w:rsid w:val="23723533"/>
    <w:rsid w:val="246D6C5B"/>
    <w:rsid w:val="24BB660D"/>
    <w:rsid w:val="2504133E"/>
    <w:rsid w:val="25513E86"/>
    <w:rsid w:val="265A3293"/>
    <w:rsid w:val="268305F9"/>
    <w:rsid w:val="2770405C"/>
    <w:rsid w:val="281279F9"/>
    <w:rsid w:val="282D3A0D"/>
    <w:rsid w:val="28830315"/>
    <w:rsid w:val="291F631C"/>
    <w:rsid w:val="29663B3A"/>
    <w:rsid w:val="297A7E50"/>
    <w:rsid w:val="29A64863"/>
    <w:rsid w:val="29C76A3A"/>
    <w:rsid w:val="2A596FC4"/>
    <w:rsid w:val="2A5A558B"/>
    <w:rsid w:val="2B806AEC"/>
    <w:rsid w:val="2C3818FC"/>
    <w:rsid w:val="2C4A4940"/>
    <w:rsid w:val="2D124529"/>
    <w:rsid w:val="2E887A15"/>
    <w:rsid w:val="2ECF508C"/>
    <w:rsid w:val="3125255F"/>
    <w:rsid w:val="33A53D1B"/>
    <w:rsid w:val="33F627C9"/>
    <w:rsid w:val="34DB447F"/>
    <w:rsid w:val="35044A71"/>
    <w:rsid w:val="35495504"/>
    <w:rsid w:val="35D30C5A"/>
    <w:rsid w:val="35E05D71"/>
    <w:rsid w:val="3613529D"/>
    <w:rsid w:val="36AF0BD7"/>
    <w:rsid w:val="37C12DCF"/>
    <w:rsid w:val="37C565A9"/>
    <w:rsid w:val="38291F6A"/>
    <w:rsid w:val="38657F1D"/>
    <w:rsid w:val="38FB6F08"/>
    <w:rsid w:val="39A27CE8"/>
    <w:rsid w:val="3BEA3572"/>
    <w:rsid w:val="3E4F20FB"/>
    <w:rsid w:val="3EE6607F"/>
    <w:rsid w:val="409C3B07"/>
    <w:rsid w:val="413466DE"/>
    <w:rsid w:val="41937E36"/>
    <w:rsid w:val="41D869C5"/>
    <w:rsid w:val="42275ABF"/>
    <w:rsid w:val="427A5CF1"/>
    <w:rsid w:val="42D462B4"/>
    <w:rsid w:val="449F5A6E"/>
    <w:rsid w:val="475C5E48"/>
    <w:rsid w:val="481903DC"/>
    <w:rsid w:val="481935D8"/>
    <w:rsid w:val="4A07193D"/>
    <w:rsid w:val="4E6E2603"/>
    <w:rsid w:val="4E8567CB"/>
    <w:rsid w:val="4F161B19"/>
    <w:rsid w:val="54753EA0"/>
    <w:rsid w:val="551B08BC"/>
    <w:rsid w:val="565076BF"/>
    <w:rsid w:val="590F04F9"/>
    <w:rsid w:val="59B559C4"/>
    <w:rsid w:val="5A7E1890"/>
    <w:rsid w:val="5A7E3E82"/>
    <w:rsid w:val="5F0400F9"/>
    <w:rsid w:val="61277C94"/>
    <w:rsid w:val="626E2E29"/>
    <w:rsid w:val="62900C11"/>
    <w:rsid w:val="643D03FD"/>
    <w:rsid w:val="64F83B70"/>
    <w:rsid w:val="6602326A"/>
    <w:rsid w:val="66122322"/>
    <w:rsid w:val="684D1CB0"/>
    <w:rsid w:val="68CF4BE5"/>
    <w:rsid w:val="6CAD3724"/>
    <w:rsid w:val="6D68563E"/>
    <w:rsid w:val="6EA539C7"/>
    <w:rsid w:val="6ED57955"/>
    <w:rsid w:val="70A46B2D"/>
    <w:rsid w:val="714F6A99"/>
    <w:rsid w:val="719D0416"/>
    <w:rsid w:val="71A30B93"/>
    <w:rsid w:val="73177BF4"/>
    <w:rsid w:val="73CF2D21"/>
    <w:rsid w:val="77203648"/>
    <w:rsid w:val="7D4F1AC4"/>
    <w:rsid w:val="7E9256D3"/>
    <w:rsid w:val="7EE2698D"/>
    <w:rsid w:val="7F9B55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8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86"/>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87"/>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9"/>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9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9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9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93"/>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列表项目符号 21"/>
    <w:basedOn w:val="1"/>
    <w:unhideWhenUsed/>
    <w:qFormat/>
    <w:uiPriority w:val="0"/>
    <w:pPr>
      <w:numPr>
        <w:ilvl w:val="0"/>
        <w:numId w:val="1"/>
      </w:numPr>
    </w:pPr>
  </w:style>
  <w:style w:type="paragraph" w:styleId="5">
    <w:name w:val="Normal Indent"/>
    <w:basedOn w:val="1"/>
    <w:unhideWhenUsed/>
    <w:qFormat/>
    <w:uiPriority w:val="0"/>
    <w:pPr>
      <w:ind w:firstLine="420"/>
    </w:pPr>
    <w:rPr>
      <w:rFonts w:ascii="Times New Roman" w:hAnsi="Times New Roman"/>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7"/>
    <w:qFormat/>
    <w:uiPriority w:val="0"/>
    <w:rPr>
      <w:rFonts w:ascii="楷体_GB2312" w:hAnsi="Arial" w:eastAsia="楷体_GB2312"/>
      <w:sz w:val="28"/>
      <w:szCs w:val="28"/>
    </w:rPr>
  </w:style>
  <w:style w:type="paragraph" w:styleId="17">
    <w:name w:val="Body Text First Indent"/>
    <w:basedOn w:val="16"/>
    <w:next w:val="1"/>
    <w:qFormat/>
    <w:uiPriority w:val="0"/>
    <w:pPr>
      <w:ind w:firstLine="420"/>
    </w:pPr>
  </w:style>
  <w:style w:type="paragraph" w:styleId="18">
    <w:name w:val="Body Text Indent"/>
    <w:basedOn w:val="1"/>
    <w:qFormat/>
    <w:uiPriority w:val="0"/>
    <w:pPr>
      <w:ind w:firstLine="225" w:firstLineChars="225"/>
    </w:pPr>
    <w:rPr>
      <w:rFonts w:ascii="仿宋_GB2312" w:hAnsi="Times New Roman" w:eastAsia="仿宋_GB2312" w:cs="Times New Roman"/>
      <w:sz w:val="32"/>
    </w:rPr>
  </w:style>
  <w:style w:type="paragraph" w:styleId="19">
    <w:name w:val="List Bullet 2"/>
    <w:basedOn w:val="1"/>
    <w:semiHidden/>
    <w:unhideWhenUsed/>
    <w:qFormat/>
    <w:uiPriority w:val="99"/>
    <w:pPr>
      <w:numPr>
        <w:ilvl w:val="0"/>
        <w:numId w:val="2"/>
      </w:numPr>
    </w:pPr>
  </w:style>
  <w:style w:type="paragraph" w:styleId="20">
    <w:name w:val="index 4"/>
    <w:basedOn w:val="1"/>
    <w:next w:val="1"/>
    <w:qFormat/>
    <w:uiPriority w:val="0"/>
    <w:pPr>
      <w:spacing w:line="360" w:lineRule="auto"/>
      <w:ind w:left="600" w:firstLine="200"/>
    </w:pPr>
    <w:rPr>
      <w:rFonts w:ascii="等线" w:hAnsi="等线" w:eastAsia="等线"/>
      <w:sz w:val="24"/>
      <w:szCs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unhideWhenUsed/>
    <w:qFormat/>
    <w:uiPriority w:val="0"/>
    <w:rPr>
      <w:rFonts w:ascii="宋体" w:hAnsi="Courier New"/>
      <w:kern w:val="0"/>
      <w:sz w:val="20"/>
      <w:szCs w:val="21"/>
    </w:rPr>
  </w:style>
  <w:style w:type="paragraph" w:styleId="24">
    <w:name w:val="toc 8"/>
    <w:basedOn w:val="1"/>
    <w:next w:val="1"/>
    <w:unhideWhenUsed/>
    <w:qFormat/>
    <w:uiPriority w:val="39"/>
    <w:pPr>
      <w:spacing w:after="57"/>
      <w:ind w:left="1984"/>
    </w:pPr>
  </w:style>
  <w:style w:type="paragraph" w:styleId="25">
    <w:name w:val="endnote text"/>
    <w:basedOn w:val="1"/>
    <w:link w:val="231"/>
    <w:semiHidden/>
    <w:unhideWhenUsed/>
    <w:qFormat/>
    <w:uiPriority w:val="99"/>
    <w:rPr>
      <w:sz w:val="20"/>
    </w:rPr>
  </w:style>
  <w:style w:type="paragraph" w:styleId="26">
    <w:name w:val="footer"/>
    <w:basedOn w:val="1"/>
    <w:link w:val="104"/>
    <w:unhideWhenUsed/>
    <w:qFormat/>
    <w:uiPriority w:val="99"/>
    <w:pPr>
      <w:tabs>
        <w:tab w:val="center" w:pos="7143"/>
        <w:tab w:val="right" w:pos="14287"/>
      </w:tabs>
    </w:pPr>
  </w:style>
  <w:style w:type="paragraph" w:styleId="27">
    <w:name w:val="header"/>
    <w:basedOn w:val="1"/>
    <w:link w:val="102"/>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97"/>
    <w:qFormat/>
    <w:uiPriority w:val="11"/>
    <w:pPr>
      <w:spacing w:before="200" w:after="200"/>
    </w:pPr>
    <w:rPr>
      <w:sz w:val="24"/>
      <w:szCs w:val="24"/>
    </w:rPr>
  </w:style>
  <w:style w:type="paragraph" w:styleId="31">
    <w:name w:val="footnote text"/>
    <w:basedOn w:val="1"/>
    <w:link w:val="230"/>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rPr>
      <w:sz w:val="24"/>
    </w:rPr>
  </w:style>
  <w:style w:type="paragraph" w:styleId="37">
    <w:name w:val="Title"/>
    <w:basedOn w:val="1"/>
    <w:next w:val="1"/>
    <w:link w:val="96"/>
    <w:qFormat/>
    <w:uiPriority w:val="10"/>
    <w:pPr>
      <w:spacing w:before="300" w:after="200"/>
      <w:contextualSpacing/>
    </w:pPr>
    <w:rPr>
      <w:sz w:val="48"/>
      <w:szCs w:val="48"/>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1 Char"/>
    <w:basedOn w:val="40"/>
    <w:qFormat/>
    <w:uiPriority w:val="9"/>
    <w:rPr>
      <w:rFonts w:ascii="Arial" w:hAnsi="Arial" w:eastAsia="Arial" w:cs="Arial"/>
      <w:sz w:val="40"/>
      <w:szCs w:val="40"/>
    </w:rPr>
  </w:style>
  <w:style w:type="character" w:customStyle="1" w:styleId="45">
    <w:name w:val="Heading 2 Char"/>
    <w:basedOn w:val="40"/>
    <w:qFormat/>
    <w:uiPriority w:val="9"/>
    <w:rPr>
      <w:rFonts w:ascii="Arial" w:hAnsi="Arial" w:eastAsia="Arial" w:cs="Arial"/>
      <w:sz w:val="34"/>
    </w:rPr>
  </w:style>
  <w:style w:type="character" w:customStyle="1" w:styleId="46">
    <w:name w:val="标题 4 Char"/>
    <w:link w:val="47"/>
    <w:qFormat/>
    <w:uiPriority w:val="0"/>
    <w:rPr>
      <w:rFonts w:ascii="Arial" w:hAnsi="Arial" w:eastAsia="黑体" w:cs="Arial"/>
      <w:b/>
      <w:bCs/>
      <w:sz w:val="28"/>
      <w:szCs w:val="28"/>
    </w:rPr>
  </w:style>
  <w:style w:type="paragraph" w:customStyle="1" w:styleId="47">
    <w:name w:val="标题 41"/>
    <w:basedOn w:val="1"/>
    <w:next w:val="48"/>
    <w:link w:val="4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48">
    <w:name w:val="正文缩进1"/>
    <w:basedOn w:val="1"/>
    <w:link w:val="269"/>
    <w:qFormat/>
    <w:uiPriority w:val="0"/>
    <w:pPr>
      <w:ind w:firstLine="420"/>
    </w:pPr>
  </w:style>
  <w:style w:type="paragraph" w:customStyle="1" w:styleId="49">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50">
    <w:name w:val="Heading 3 Char"/>
    <w:basedOn w:val="40"/>
    <w:qFormat/>
    <w:uiPriority w:val="9"/>
    <w:rPr>
      <w:rFonts w:ascii="Arial" w:hAnsi="Arial" w:eastAsia="Arial" w:cs="Arial"/>
      <w:sz w:val="30"/>
      <w:szCs w:val="30"/>
    </w:rPr>
  </w:style>
  <w:style w:type="character" w:customStyle="1" w:styleId="51">
    <w:name w:val="Heading 4 Char"/>
    <w:basedOn w:val="40"/>
    <w:qFormat/>
    <w:uiPriority w:val="9"/>
    <w:rPr>
      <w:rFonts w:ascii="Arial" w:hAnsi="Arial" w:eastAsia="Arial" w:cs="Arial"/>
      <w:b/>
      <w:bCs/>
      <w:sz w:val="26"/>
      <w:szCs w:val="26"/>
    </w:rPr>
  </w:style>
  <w:style w:type="character" w:customStyle="1" w:styleId="52">
    <w:name w:val="Heading 5 Char"/>
    <w:basedOn w:val="40"/>
    <w:qFormat/>
    <w:uiPriority w:val="9"/>
    <w:rPr>
      <w:rFonts w:ascii="Arial" w:hAnsi="Arial" w:eastAsia="Arial" w:cs="Arial"/>
      <w:b/>
      <w:bCs/>
      <w:sz w:val="24"/>
      <w:szCs w:val="24"/>
    </w:rPr>
  </w:style>
  <w:style w:type="character" w:customStyle="1" w:styleId="53">
    <w:name w:val="Heading 6 Char"/>
    <w:basedOn w:val="40"/>
    <w:qFormat/>
    <w:uiPriority w:val="9"/>
    <w:rPr>
      <w:rFonts w:ascii="Arial" w:hAnsi="Arial" w:eastAsia="Arial" w:cs="Arial"/>
      <w:b/>
      <w:bCs/>
      <w:sz w:val="22"/>
      <w:szCs w:val="22"/>
    </w:rPr>
  </w:style>
  <w:style w:type="character" w:customStyle="1" w:styleId="54">
    <w:name w:val="Heading 7 Char"/>
    <w:basedOn w:val="40"/>
    <w:qFormat/>
    <w:uiPriority w:val="9"/>
    <w:rPr>
      <w:rFonts w:ascii="Arial" w:hAnsi="Arial" w:eastAsia="Arial" w:cs="Arial"/>
      <w:b/>
      <w:bCs/>
      <w:i/>
      <w:iCs/>
      <w:sz w:val="22"/>
      <w:szCs w:val="22"/>
    </w:rPr>
  </w:style>
  <w:style w:type="character" w:customStyle="1" w:styleId="55">
    <w:name w:val="Heading 8 Char"/>
    <w:basedOn w:val="40"/>
    <w:qFormat/>
    <w:uiPriority w:val="9"/>
    <w:rPr>
      <w:rFonts w:ascii="Arial" w:hAnsi="Arial" w:eastAsia="Arial" w:cs="Arial"/>
      <w:i/>
      <w:iCs/>
      <w:sz w:val="22"/>
      <w:szCs w:val="22"/>
    </w:rPr>
  </w:style>
  <w:style w:type="character" w:customStyle="1" w:styleId="56">
    <w:name w:val="Heading 9 Char"/>
    <w:basedOn w:val="40"/>
    <w:qFormat/>
    <w:uiPriority w:val="9"/>
    <w:rPr>
      <w:rFonts w:ascii="Arial" w:hAnsi="Arial" w:eastAsia="Arial" w:cs="Arial"/>
      <w:i/>
      <w:iCs/>
      <w:sz w:val="21"/>
      <w:szCs w:val="21"/>
    </w:rPr>
  </w:style>
  <w:style w:type="character" w:customStyle="1" w:styleId="57">
    <w:name w:val="Title Char"/>
    <w:basedOn w:val="40"/>
    <w:qFormat/>
    <w:uiPriority w:val="10"/>
    <w:rPr>
      <w:sz w:val="48"/>
      <w:szCs w:val="48"/>
    </w:rPr>
  </w:style>
  <w:style w:type="character" w:customStyle="1" w:styleId="58">
    <w:name w:val="Subtitle Char"/>
    <w:basedOn w:val="40"/>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40"/>
    <w:qFormat/>
    <w:uiPriority w:val="99"/>
  </w:style>
  <w:style w:type="character" w:customStyle="1" w:styleId="62">
    <w:name w:val="Caption Char"/>
    <w:qFormat/>
    <w:uiPriority w:val="99"/>
  </w:style>
  <w:style w:type="table" w:customStyle="1" w:styleId="63">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3">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6">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8">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0">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1">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Heading"/>
    <w:unhideWhenUsed/>
    <w:qFormat/>
    <w:uiPriority w:val="39"/>
    <w:rPr>
      <w:rFonts w:hint="default" w:ascii="Times New Roman" w:hAnsi="Times New Roman" w:eastAsia="宋体" w:cs="Times New Roman"/>
    </w:rPr>
  </w:style>
  <w:style w:type="character" w:customStyle="1" w:styleId="85">
    <w:name w:val="标题 1 字符"/>
    <w:link w:val="3"/>
    <w:qFormat/>
    <w:uiPriority w:val="9"/>
    <w:rPr>
      <w:rFonts w:ascii="Arial" w:hAnsi="Arial" w:eastAsia="Arial" w:cs="Arial"/>
      <w:sz w:val="40"/>
      <w:szCs w:val="40"/>
    </w:rPr>
  </w:style>
  <w:style w:type="character" w:customStyle="1" w:styleId="86">
    <w:name w:val="标题 2 字符"/>
    <w:link w:val="4"/>
    <w:qFormat/>
    <w:uiPriority w:val="9"/>
    <w:rPr>
      <w:rFonts w:ascii="Arial" w:hAnsi="Arial" w:eastAsia="Arial" w:cs="Arial"/>
      <w:sz w:val="34"/>
    </w:rPr>
  </w:style>
  <w:style w:type="character" w:customStyle="1" w:styleId="87">
    <w:name w:val="标题 3 字符"/>
    <w:link w:val="6"/>
    <w:qFormat/>
    <w:uiPriority w:val="9"/>
    <w:rPr>
      <w:rFonts w:ascii="Arial" w:hAnsi="Arial" w:eastAsia="Arial" w:cs="Arial"/>
      <w:sz w:val="30"/>
      <w:szCs w:val="30"/>
    </w:rPr>
  </w:style>
  <w:style w:type="character" w:customStyle="1" w:styleId="88">
    <w:name w:val="标题 4 字符"/>
    <w:link w:val="7"/>
    <w:qFormat/>
    <w:uiPriority w:val="9"/>
    <w:rPr>
      <w:rFonts w:ascii="Arial" w:hAnsi="Arial" w:eastAsia="Arial" w:cs="Arial"/>
      <w:b/>
      <w:bCs/>
      <w:sz w:val="26"/>
      <w:szCs w:val="26"/>
    </w:rPr>
  </w:style>
  <w:style w:type="character" w:customStyle="1" w:styleId="89">
    <w:name w:val="标题 5 字符"/>
    <w:link w:val="8"/>
    <w:qFormat/>
    <w:uiPriority w:val="9"/>
    <w:rPr>
      <w:rFonts w:ascii="Arial" w:hAnsi="Arial" w:eastAsia="Arial" w:cs="Arial"/>
      <w:b/>
      <w:bCs/>
      <w:sz w:val="24"/>
      <w:szCs w:val="24"/>
    </w:rPr>
  </w:style>
  <w:style w:type="character" w:customStyle="1" w:styleId="90">
    <w:name w:val="标题 6 字符"/>
    <w:link w:val="9"/>
    <w:qFormat/>
    <w:uiPriority w:val="9"/>
    <w:rPr>
      <w:rFonts w:ascii="Arial" w:hAnsi="Arial" w:eastAsia="Arial" w:cs="Arial"/>
      <w:b/>
      <w:bCs/>
      <w:sz w:val="22"/>
      <w:szCs w:val="22"/>
    </w:rPr>
  </w:style>
  <w:style w:type="character" w:customStyle="1" w:styleId="91">
    <w:name w:val="标题 7 字符"/>
    <w:link w:val="10"/>
    <w:qFormat/>
    <w:uiPriority w:val="9"/>
    <w:rPr>
      <w:rFonts w:ascii="Arial" w:hAnsi="Arial" w:eastAsia="Arial" w:cs="Arial"/>
      <w:b/>
      <w:bCs/>
      <w:i/>
      <w:iCs/>
      <w:sz w:val="22"/>
      <w:szCs w:val="22"/>
    </w:rPr>
  </w:style>
  <w:style w:type="character" w:customStyle="1" w:styleId="92">
    <w:name w:val="标题 8 字符"/>
    <w:link w:val="11"/>
    <w:qFormat/>
    <w:uiPriority w:val="9"/>
    <w:rPr>
      <w:rFonts w:ascii="Arial" w:hAnsi="Arial" w:eastAsia="Arial" w:cs="Arial"/>
      <w:i/>
      <w:iCs/>
      <w:sz w:val="22"/>
      <w:szCs w:val="22"/>
    </w:rPr>
  </w:style>
  <w:style w:type="character" w:customStyle="1" w:styleId="93">
    <w:name w:val="标题 9 字符"/>
    <w:link w:val="12"/>
    <w:qFormat/>
    <w:uiPriority w:val="9"/>
    <w:rPr>
      <w:rFonts w:ascii="Arial" w:hAnsi="Arial" w:eastAsia="Arial" w:cs="Arial"/>
      <w:i/>
      <w:iCs/>
      <w:sz w:val="21"/>
      <w:szCs w:val="21"/>
    </w:rPr>
  </w:style>
  <w:style w:type="paragraph" w:styleId="94">
    <w:name w:val="List Paragraph"/>
    <w:basedOn w:val="1"/>
    <w:qFormat/>
    <w:uiPriority w:val="34"/>
    <w:pPr>
      <w:ind w:left="720"/>
      <w:contextualSpacing/>
    </w:pPr>
  </w:style>
  <w:style w:type="paragraph" w:styleId="95">
    <w:name w:val="No Spacing"/>
    <w:qFormat/>
    <w:uiPriority w:val="1"/>
    <w:rPr>
      <w:rFonts w:hint="default" w:ascii="Calibri" w:hAnsi="Calibri" w:eastAsia="宋体" w:cs="Times New Roman"/>
      <w:lang w:val="en-US" w:eastAsia="zh-CN" w:bidi="ar-SA"/>
    </w:rPr>
  </w:style>
  <w:style w:type="character" w:customStyle="1" w:styleId="96">
    <w:name w:val="标题 字符"/>
    <w:link w:val="37"/>
    <w:qFormat/>
    <w:uiPriority w:val="10"/>
    <w:rPr>
      <w:sz w:val="48"/>
      <w:szCs w:val="48"/>
    </w:rPr>
  </w:style>
  <w:style w:type="character" w:customStyle="1" w:styleId="97">
    <w:name w:val="副标题 字符"/>
    <w:link w:val="30"/>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字符"/>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字符"/>
    <w:link w:val="100"/>
    <w:qFormat/>
    <w:uiPriority w:val="30"/>
    <w:rPr>
      <w:i/>
    </w:rPr>
  </w:style>
  <w:style w:type="character" w:customStyle="1" w:styleId="102">
    <w:name w:val="页眉 字符"/>
    <w:link w:val="27"/>
    <w:qFormat/>
    <w:uiPriority w:val="99"/>
  </w:style>
  <w:style w:type="character" w:customStyle="1" w:styleId="103">
    <w:name w:val="Footer Char"/>
    <w:qFormat/>
    <w:uiPriority w:val="99"/>
  </w:style>
  <w:style w:type="character" w:customStyle="1" w:styleId="104">
    <w:name w:val="页脚 字符"/>
    <w:link w:val="26"/>
    <w:qFormat/>
    <w:uiPriority w:val="99"/>
  </w:style>
  <w:style w:type="table" w:customStyle="1" w:styleId="10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31"/>
    <w:qFormat/>
    <w:uiPriority w:val="99"/>
    <w:rPr>
      <w:sz w:val="18"/>
    </w:rPr>
  </w:style>
  <w:style w:type="character" w:customStyle="1" w:styleId="231">
    <w:name w:val="尾注文本 字符"/>
    <w:link w:val="25"/>
    <w:qFormat/>
    <w:uiPriority w:val="99"/>
    <w:rPr>
      <w:sz w:val="20"/>
    </w:rPr>
  </w:style>
  <w:style w:type="paragraph" w:customStyle="1" w:styleId="232">
    <w:name w:val="TOC 标题1"/>
    <w:unhideWhenUsed/>
    <w:qFormat/>
    <w:uiPriority w:val="39"/>
    <w:rPr>
      <w:rFonts w:hint="default" w:ascii="Calibri" w:hAnsi="Calibri" w:eastAsia="宋体" w:cs="Times New Roman"/>
      <w:lang w:val="en-US" w:eastAsia="zh-CN" w:bidi="ar-SA"/>
    </w:rPr>
  </w:style>
  <w:style w:type="paragraph" w:customStyle="1" w:styleId="233">
    <w:name w:val="标题 11"/>
    <w:basedOn w:val="1"/>
    <w:next w:val="1"/>
    <w:link w:val="284"/>
    <w:qFormat/>
    <w:uiPriority w:val="0"/>
    <w:pPr>
      <w:keepNext/>
      <w:jc w:val="center"/>
      <w:outlineLvl w:val="0"/>
    </w:pPr>
    <w:rPr>
      <w:rFonts w:ascii="楷体_GB2312" w:eastAsia="楷体_GB2312"/>
      <w:sz w:val="28"/>
      <w:szCs w:val="28"/>
    </w:rPr>
  </w:style>
  <w:style w:type="paragraph" w:customStyle="1" w:styleId="234">
    <w:name w:val="标题 21"/>
    <w:basedOn w:val="1"/>
    <w:next w:val="1"/>
    <w:link w:val="28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5">
    <w:name w:val="标题 31"/>
    <w:basedOn w:val="1"/>
    <w:next w:val="1"/>
    <w:link w:val="266"/>
    <w:qFormat/>
    <w:uiPriority w:val="0"/>
    <w:pPr>
      <w:keepNext/>
      <w:keepLines/>
      <w:spacing w:before="260" w:after="260" w:line="416" w:lineRule="auto"/>
      <w:outlineLvl w:val="2"/>
    </w:pPr>
    <w:rPr>
      <w:b/>
      <w:bCs/>
      <w:sz w:val="32"/>
      <w:szCs w:val="32"/>
    </w:rPr>
  </w:style>
  <w:style w:type="paragraph" w:customStyle="1" w:styleId="236">
    <w:name w:val="标题 51"/>
    <w:basedOn w:val="1"/>
    <w:next w:val="48"/>
    <w:link w:val="276"/>
    <w:qFormat/>
    <w:uiPriority w:val="0"/>
    <w:pPr>
      <w:keepNext/>
      <w:outlineLvl w:val="4"/>
    </w:pPr>
    <w:rPr>
      <w:rFonts w:ascii="宋体"/>
      <w:color w:val="000000"/>
      <w:sz w:val="28"/>
      <w:szCs w:val="28"/>
    </w:rPr>
  </w:style>
  <w:style w:type="paragraph" w:customStyle="1" w:styleId="237">
    <w:name w:val="标题 61"/>
    <w:basedOn w:val="1"/>
    <w:next w:val="1"/>
    <w:link w:val="256"/>
    <w:qFormat/>
    <w:uiPriority w:val="0"/>
    <w:pPr>
      <w:keepNext/>
      <w:keepLines/>
      <w:numPr>
        <w:ilvl w:val="5"/>
        <w:numId w:val="3"/>
      </w:numPr>
      <w:spacing w:before="240" w:after="64" w:line="320" w:lineRule="auto"/>
      <w:outlineLvl w:val="5"/>
    </w:pPr>
    <w:rPr>
      <w:rFonts w:ascii="Arial" w:hAnsi="Arial" w:eastAsia="黑体"/>
      <w:b/>
      <w:bCs/>
      <w:sz w:val="24"/>
      <w:szCs w:val="24"/>
    </w:rPr>
  </w:style>
  <w:style w:type="paragraph" w:customStyle="1" w:styleId="238">
    <w:name w:val="标题 71"/>
    <w:basedOn w:val="1"/>
    <w:next w:val="1"/>
    <w:link w:val="251"/>
    <w:qFormat/>
    <w:uiPriority w:val="0"/>
    <w:pPr>
      <w:keepNext/>
      <w:keepLines/>
      <w:numPr>
        <w:ilvl w:val="6"/>
        <w:numId w:val="3"/>
      </w:numPr>
      <w:spacing w:before="240" w:after="64" w:line="320" w:lineRule="auto"/>
      <w:outlineLvl w:val="6"/>
    </w:pPr>
    <w:rPr>
      <w:b/>
      <w:bCs/>
      <w:sz w:val="24"/>
      <w:szCs w:val="24"/>
    </w:rPr>
  </w:style>
  <w:style w:type="paragraph" w:customStyle="1" w:styleId="239">
    <w:name w:val="标题 81"/>
    <w:basedOn w:val="1"/>
    <w:next w:val="1"/>
    <w:link w:val="250"/>
    <w:qFormat/>
    <w:uiPriority w:val="0"/>
    <w:pPr>
      <w:keepNext/>
      <w:keepLines/>
      <w:numPr>
        <w:ilvl w:val="7"/>
        <w:numId w:val="3"/>
      </w:numPr>
      <w:spacing w:before="240" w:after="64" w:line="320" w:lineRule="auto"/>
      <w:outlineLvl w:val="7"/>
    </w:pPr>
    <w:rPr>
      <w:rFonts w:ascii="Arial" w:hAnsi="Arial" w:eastAsia="黑体"/>
      <w:sz w:val="24"/>
      <w:szCs w:val="24"/>
    </w:rPr>
  </w:style>
  <w:style w:type="paragraph" w:customStyle="1" w:styleId="240">
    <w:name w:val="标题 91"/>
    <w:basedOn w:val="1"/>
    <w:next w:val="1"/>
    <w:link w:val="286"/>
    <w:qFormat/>
    <w:uiPriority w:val="0"/>
    <w:pPr>
      <w:keepNext/>
      <w:keepLines/>
      <w:numPr>
        <w:ilvl w:val="8"/>
        <w:numId w:val="3"/>
      </w:numPr>
      <w:spacing w:before="240" w:after="64" w:line="320" w:lineRule="auto"/>
      <w:outlineLvl w:val="8"/>
    </w:pPr>
    <w:rPr>
      <w:rFonts w:ascii="Arial" w:hAnsi="Arial" w:eastAsia="黑体"/>
    </w:rPr>
  </w:style>
  <w:style w:type="character" w:customStyle="1" w:styleId="241">
    <w:name w:val="默认段落字体1"/>
    <w:unhideWhenUsed/>
    <w:qFormat/>
    <w:uiPriority w:val="1"/>
  </w:style>
  <w:style w:type="table" w:customStyle="1" w:styleId="242">
    <w:name w:val="普通表格1"/>
    <w:unhideWhenUsed/>
    <w:qFormat/>
    <w:uiPriority w:val="99"/>
    <w:tblPr>
      <w:tblCellMar>
        <w:top w:w="0" w:type="dxa"/>
        <w:left w:w="0" w:type="dxa"/>
        <w:bottom w:w="0" w:type="dxa"/>
        <w:right w:w="0" w:type="dxa"/>
      </w:tblCellMar>
    </w:tblPr>
  </w:style>
  <w:style w:type="character" w:customStyle="1" w:styleId="243">
    <w:name w:val="批注框文本 Char"/>
    <w:link w:val="244"/>
    <w:semiHidden/>
    <w:qFormat/>
    <w:uiPriority w:val="0"/>
    <w:rPr>
      <w:rFonts w:ascii="Times New Roman" w:hAnsi="Times New Roman" w:eastAsia="宋体" w:cs="Times New Roman"/>
      <w:sz w:val="18"/>
      <w:szCs w:val="18"/>
    </w:rPr>
  </w:style>
  <w:style w:type="paragraph" w:customStyle="1" w:styleId="244">
    <w:name w:val="批注框文本1"/>
    <w:basedOn w:val="1"/>
    <w:link w:val="243"/>
    <w:semiHidden/>
    <w:qFormat/>
    <w:uiPriority w:val="0"/>
    <w:rPr>
      <w:sz w:val="18"/>
      <w:szCs w:val="18"/>
    </w:rPr>
  </w:style>
  <w:style w:type="character" w:customStyle="1" w:styleId="245">
    <w:name w:val="列出段落 Char"/>
    <w:link w:val="246"/>
    <w:qFormat/>
    <w:uiPriority w:val="0"/>
    <w:rPr>
      <w:rFonts w:ascii="Calibri" w:hAnsi="Calibri"/>
      <w:sz w:val="24"/>
      <w:szCs w:val="24"/>
      <w:lang w:eastAsia="en-US" w:bidi="en-US"/>
    </w:rPr>
  </w:style>
  <w:style w:type="paragraph" w:customStyle="1" w:styleId="246">
    <w:name w:val="列出段落1"/>
    <w:basedOn w:val="1"/>
    <w:link w:val="245"/>
    <w:qFormat/>
    <w:uiPriority w:val="0"/>
    <w:pPr>
      <w:widowControl/>
      <w:ind w:left="720"/>
      <w:contextualSpacing/>
      <w:jc w:val="left"/>
    </w:pPr>
    <w:rPr>
      <w:rFonts w:ascii="Calibri" w:hAnsi="Calibri"/>
      <w:sz w:val="24"/>
      <w:szCs w:val="24"/>
      <w:lang w:eastAsia="en-US" w:bidi="en-US"/>
    </w:rPr>
  </w:style>
  <w:style w:type="character" w:customStyle="1" w:styleId="247">
    <w:name w:val="正文文本 Char"/>
    <w:link w:val="248"/>
    <w:qFormat/>
    <w:uiPriority w:val="0"/>
    <w:rPr>
      <w:rFonts w:ascii="楷体_GB2312" w:hAnsi="Arial" w:eastAsia="楷体_GB2312" w:cs="Times New Roman"/>
      <w:sz w:val="28"/>
      <w:szCs w:val="28"/>
    </w:rPr>
  </w:style>
  <w:style w:type="paragraph" w:customStyle="1" w:styleId="248">
    <w:name w:val="正文文本1"/>
    <w:basedOn w:val="1"/>
    <w:next w:val="249"/>
    <w:link w:val="247"/>
    <w:qFormat/>
    <w:uiPriority w:val="0"/>
    <w:rPr>
      <w:rFonts w:ascii="楷体_GB2312" w:hAnsi="Arial" w:eastAsia="楷体_GB2312"/>
      <w:sz w:val="28"/>
      <w:szCs w:val="28"/>
    </w:rPr>
  </w:style>
  <w:style w:type="paragraph" w:customStyle="1" w:styleId="249">
    <w:name w:val="正文文本 21"/>
    <w:basedOn w:val="1"/>
    <w:link w:val="289"/>
    <w:qFormat/>
    <w:uiPriority w:val="0"/>
    <w:pPr>
      <w:widowControl/>
      <w:jc w:val="center"/>
    </w:pPr>
    <w:rPr>
      <w:rFonts w:ascii="楷体_GB2312" w:eastAsia="楷体_GB2312"/>
      <w:sz w:val="28"/>
      <w:szCs w:val="28"/>
    </w:rPr>
  </w:style>
  <w:style w:type="character" w:customStyle="1" w:styleId="250">
    <w:name w:val="标题 8 Char"/>
    <w:link w:val="239"/>
    <w:qFormat/>
    <w:uiPriority w:val="0"/>
    <w:rPr>
      <w:rFonts w:ascii="Arial" w:hAnsi="Arial" w:eastAsia="黑体" w:cs="Times New Roman"/>
      <w:sz w:val="24"/>
      <w:szCs w:val="24"/>
    </w:rPr>
  </w:style>
  <w:style w:type="character" w:customStyle="1" w:styleId="251">
    <w:name w:val="标题 7 Char"/>
    <w:link w:val="238"/>
    <w:qFormat/>
    <w:uiPriority w:val="0"/>
    <w:rPr>
      <w:rFonts w:ascii="Times New Roman" w:hAnsi="Times New Roman" w:eastAsia="宋体" w:cs="Times New Roman"/>
      <w:b/>
      <w:bCs/>
      <w:sz w:val="24"/>
      <w:szCs w:val="24"/>
    </w:rPr>
  </w:style>
  <w:style w:type="character" w:customStyle="1" w:styleId="252">
    <w:name w:val="超链接1"/>
    <w:qFormat/>
    <w:uiPriority w:val="0"/>
    <w:rPr>
      <w:color w:val="0000FF"/>
      <w:u w:val="single"/>
    </w:rPr>
  </w:style>
  <w:style w:type="character" w:customStyle="1" w:styleId="253">
    <w:name w:val="正文文本 3 Char"/>
    <w:link w:val="254"/>
    <w:qFormat/>
    <w:uiPriority w:val="0"/>
    <w:rPr>
      <w:rFonts w:ascii="仿宋_GB2312" w:hAnsi="Arial" w:eastAsia="仿宋_GB2312" w:cs="Times New Roman"/>
      <w:sz w:val="32"/>
      <w:szCs w:val="32"/>
    </w:rPr>
  </w:style>
  <w:style w:type="paragraph" w:customStyle="1" w:styleId="254">
    <w:name w:val="正文文本 31"/>
    <w:basedOn w:val="1"/>
    <w:link w:val="253"/>
    <w:qFormat/>
    <w:uiPriority w:val="0"/>
    <w:rPr>
      <w:rFonts w:ascii="仿宋_GB2312" w:hAnsi="Arial" w:eastAsia="仿宋_GB2312"/>
      <w:sz w:val="32"/>
      <w:szCs w:val="32"/>
    </w:rPr>
  </w:style>
  <w:style w:type="character" w:customStyle="1" w:styleId="255">
    <w:name w:val="font5 Char"/>
    <w:qFormat/>
    <w:uiPriority w:val="0"/>
    <w:rPr>
      <w:rFonts w:ascii="宋体" w:hAnsi="宋体" w:eastAsia="宋体"/>
      <w:sz w:val="28"/>
      <w:szCs w:val="28"/>
      <w:lang w:val="en-US" w:eastAsia="zh-CN" w:bidi="ar-SA"/>
    </w:rPr>
  </w:style>
  <w:style w:type="character" w:customStyle="1" w:styleId="256">
    <w:name w:val="标题 6 Char"/>
    <w:link w:val="237"/>
    <w:qFormat/>
    <w:uiPriority w:val="0"/>
    <w:rPr>
      <w:rFonts w:ascii="Arial" w:hAnsi="Arial" w:eastAsia="黑体" w:cs="Times New Roman"/>
      <w:b/>
      <w:bCs/>
      <w:sz w:val="24"/>
      <w:szCs w:val="24"/>
    </w:rPr>
  </w:style>
  <w:style w:type="character" w:customStyle="1" w:styleId="257">
    <w:name w:val="已访问的超链接1"/>
    <w:qFormat/>
    <w:uiPriority w:val="0"/>
    <w:rPr>
      <w:color w:val="800080"/>
      <w:u w:val="single"/>
    </w:rPr>
  </w:style>
  <w:style w:type="character" w:customStyle="1" w:styleId="258">
    <w:name w:val="二级目录 Char"/>
    <w:link w:val="259"/>
    <w:qFormat/>
    <w:uiPriority w:val="0"/>
    <w:rPr>
      <w:b/>
      <w:sz w:val="30"/>
      <w:szCs w:val="28"/>
    </w:rPr>
  </w:style>
  <w:style w:type="paragraph" w:customStyle="1" w:styleId="259">
    <w:name w:val="二级目录"/>
    <w:next w:val="1"/>
    <w:link w:val="258"/>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60">
    <w:name w:val="页眉 Char"/>
    <w:link w:val="261"/>
    <w:qFormat/>
    <w:uiPriority w:val="0"/>
    <w:rPr>
      <w:rFonts w:ascii="Times New Roman" w:hAnsi="Times New Roman" w:eastAsia="宋体" w:cs="Times New Roman"/>
      <w:sz w:val="18"/>
      <w:szCs w:val="18"/>
    </w:rPr>
  </w:style>
  <w:style w:type="paragraph" w:customStyle="1" w:styleId="261">
    <w:name w:val="页眉1"/>
    <w:basedOn w:val="1"/>
    <w:link w:val="260"/>
    <w:qFormat/>
    <w:uiPriority w:val="0"/>
    <w:pPr>
      <w:pBdr>
        <w:bottom w:val="single" w:color="000000" w:sz="6" w:space="1"/>
      </w:pBdr>
      <w:tabs>
        <w:tab w:val="center" w:pos="4153"/>
        <w:tab w:val="right" w:pos="8306"/>
      </w:tabs>
      <w:jc w:val="center"/>
    </w:pPr>
    <w:rPr>
      <w:sz w:val="18"/>
      <w:szCs w:val="18"/>
    </w:rPr>
  </w:style>
  <w:style w:type="character" w:customStyle="1" w:styleId="262">
    <w:name w:val="页码1"/>
    <w:qFormat/>
    <w:uiPriority w:val="0"/>
  </w:style>
  <w:style w:type="character" w:customStyle="1" w:styleId="263">
    <w:name w:val="正文首行缩进 2 Char"/>
    <w:link w:val="264"/>
    <w:qFormat/>
    <w:uiPriority w:val="0"/>
    <w:rPr>
      <w:rFonts w:ascii="宋体" w:hAnsi="宋体" w:eastAsia="宋体" w:cs="Times New Roman"/>
      <w:sz w:val="32"/>
      <w:szCs w:val="20"/>
    </w:rPr>
  </w:style>
  <w:style w:type="paragraph" w:customStyle="1" w:styleId="264">
    <w:name w:val="正文首行缩进 21"/>
    <w:basedOn w:val="265"/>
    <w:link w:val="263"/>
    <w:qFormat/>
    <w:uiPriority w:val="0"/>
    <w:pPr>
      <w:spacing w:line="360" w:lineRule="auto"/>
      <w:ind w:firstLine="420"/>
    </w:pPr>
    <w:rPr>
      <w:rFonts w:ascii="宋体" w:hAnsi="宋体" w:eastAsia="宋体"/>
      <w:sz w:val="21"/>
      <w:szCs w:val="20"/>
    </w:rPr>
  </w:style>
  <w:style w:type="paragraph" w:customStyle="1" w:styleId="265">
    <w:name w:val="正文文本缩进1"/>
    <w:basedOn w:val="1"/>
    <w:link w:val="281"/>
    <w:qFormat/>
    <w:uiPriority w:val="0"/>
    <w:pPr>
      <w:ind w:firstLine="645"/>
    </w:pPr>
    <w:rPr>
      <w:rFonts w:ascii="楷体_GB2312" w:eastAsia="楷体_GB2312"/>
      <w:sz w:val="32"/>
      <w:szCs w:val="32"/>
    </w:rPr>
  </w:style>
  <w:style w:type="character" w:customStyle="1" w:styleId="266">
    <w:name w:val="标题 3 Char"/>
    <w:link w:val="235"/>
    <w:qFormat/>
    <w:uiPriority w:val="0"/>
    <w:rPr>
      <w:rFonts w:ascii="Times New Roman" w:hAnsi="Times New Roman" w:eastAsia="宋体" w:cs="Times New Roman"/>
      <w:b/>
      <w:bCs/>
      <w:sz w:val="32"/>
      <w:szCs w:val="32"/>
    </w:rPr>
  </w:style>
  <w:style w:type="character" w:customStyle="1" w:styleId="267">
    <w:name w:val="批注文字 Char"/>
    <w:link w:val="268"/>
    <w:semiHidden/>
    <w:qFormat/>
    <w:uiPriority w:val="0"/>
    <w:rPr>
      <w:rFonts w:ascii="Times New Roman" w:hAnsi="Times New Roman" w:eastAsia="宋体" w:cs="Times New Roman"/>
      <w:szCs w:val="21"/>
    </w:rPr>
  </w:style>
  <w:style w:type="paragraph" w:customStyle="1" w:styleId="268">
    <w:name w:val="批注文字1"/>
    <w:basedOn w:val="1"/>
    <w:link w:val="267"/>
    <w:semiHidden/>
    <w:qFormat/>
    <w:uiPriority w:val="0"/>
    <w:pPr>
      <w:jc w:val="left"/>
    </w:pPr>
  </w:style>
  <w:style w:type="character" w:customStyle="1" w:styleId="269">
    <w:name w:val="正文缩进 Char"/>
    <w:link w:val="48"/>
    <w:qFormat/>
    <w:uiPriority w:val="0"/>
    <w:rPr>
      <w:rFonts w:ascii="Times New Roman" w:hAnsi="Times New Roman" w:eastAsia="宋体" w:cs="Times New Roman"/>
      <w:szCs w:val="21"/>
    </w:rPr>
  </w:style>
  <w:style w:type="character" w:customStyle="1" w:styleId="270">
    <w:name w:val="日期 Char"/>
    <w:link w:val="271"/>
    <w:qFormat/>
    <w:uiPriority w:val="0"/>
    <w:rPr>
      <w:rFonts w:ascii="Times New Roman" w:hAnsi="Times New Roman" w:eastAsia="宋体" w:cs="Times New Roman"/>
      <w:sz w:val="24"/>
      <w:szCs w:val="24"/>
    </w:rPr>
  </w:style>
  <w:style w:type="paragraph" w:customStyle="1" w:styleId="271">
    <w:name w:val="日期1"/>
    <w:basedOn w:val="1"/>
    <w:next w:val="1"/>
    <w:link w:val="270"/>
    <w:qFormat/>
    <w:uiPriority w:val="0"/>
    <w:rPr>
      <w:sz w:val="24"/>
      <w:szCs w:val="24"/>
    </w:rPr>
  </w:style>
  <w:style w:type="character" w:customStyle="1" w:styleId="272">
    <w:name w:val="要点1"/>
    <w:qFormat/>
    <w:uiPriority w:val="0"/>
    <w:rPr>
      <w:b/>
      <w:bCs/>
    </w:rPr>
  </w:style>
  <w:style w:type="character" w:customStyle="1" w:styleId="273">
    <w:name w:val="页脚 Char"/>
    <w:link w:val="274"/>
    <w:qFormat/>
    <w:uiPriority w:val="0"/>
    <w:rPr>
      <w:rFonts w:ascii="Times New Roman" w:hAnsi="Times New Roman" w:eastAsia="宋体" w:cs="Times New Roman"/>
      <w:sz w:val="18"/>
      <w:szCs w:val="18"/>
    </w:rPr>
  </w:style>
  <w:style w:type="paragraph" w:customStyle="1" w:styleId="274">
    <w:name w:val="页脚1"/>
    <w:basedOn w:val="1"/>
    <w:link w:val="273"/>
    <w:qFormat/>
    <w:uiPriority w:val="0"/>
    <w:pPr>
      <w:tabs>
        <w:tab w:val="center" w:pos="4153"/>
        <w:tab w:val="right" w:pos="8306"/>
      </w:tabs>
      <w:jc w:val="left"/>
    </w:pPr>
    <w:rPr>
      <w:sz w:val="18"/>
      <w:szCs w:val="18"/>
    </w:rPr>
  </w:style>
  <w:style w:type="character" w:customStyle="1" w:styleId="275">
    <w:name w:val="批注引用1"/>
    <w:semiHidden/>
    <w:qFormat/>
    <w:uiPriority w:val="0"/>
    <w:rPr>
      <w:sz w:val="21"/>
      <w:szCs w:val="21"/>
    </w:rPr>
  </w:style>
  <w:style w:type="character" w:customStyle="1" w:styleId="276">
    <w:name w:val="标题 5 Char"/>
    <w:link w:val="236"/>
    <w:qFormat/>
    <w:uiPriority w:val="0"/>
    <w:rPr>
      <w:rFonts w:ascii="宋体" w:hAnsi="Times New Roman" w:eastAsia="宋体" w:cs="Times New Roman"/>
      <w:color w:val="000000"/>
      <w:sz w:val="28"/>
      <w:szCs w:val="28"/>
    </w:rPr>
  </w:style>
  <w:style w:type="character" w:customStyle="1" w:styleId="277">
    <w:name w:val="文档结构图 Char"/>
    <w:link w:val="278"/>
    <w:semiHidden/>
    <w:qFormat/>
    <w:uiPriority w:val="0"/>
    <w:rPr>
      <w:rFonts w:ascii="Times New Roman" w:hAnsi="Times New Roman" w:eastAsia="宋体" w:cs="Times New Roman"/>
      <w:szCs w:val="21"/>
      <w:shd w:val="clear" w:color="auto" w:fill="000080"/>
    </w:rPr>
  </w:style>
  <w:style w:type="paragraph" w:customStyle="1" w:styleId="278">
    <w:name w:val="文档结构图1"/>
    <w:basedOn w:val="1"/>
    <w:link w:val="277"/>
    <w:semiHidden/>
    <w:qFormat/>
    <w:uiPriority w:val="0"/>
    <w:pPr>
      <w:shd w:val="clear" w:color="auto" w:fill="000080"/>
    </w:pPr>
  </w:style>
  <w:style w:type="character" w:customStyle="1" w:styleId="279">
    <w:name w:val="正文文本缩进 3 Char"/>
    <w:link w:val="280"/>
    <w:qFormat/>
    <w:uiPriority w:val="0"/>
    <w:rPr>
      <w:rFonts w:ascii="Arial" w:hAnsi="Arial" w:eastAsia="仿宋_GB2312" w:cs="Arial"/>
      <w:color w:val="FFFF00"/>
      <w:sz w:val="32"/>
      <w:szCs w:val="32"/>
    </w:rPr>
  </w:style>
  <w:style w:type="paragraph" w:customStyle="1" w:styleId="280">
    <w:name w:val="正文文本缩进 31"/>
    <w:basedOn w:val="1"/>
    <w:link w:val="279"/>
    <w:qFormat/>
    <w:uiPriority w:val="0"/>
    <w:pPr>
      <w:ind w:left="645" w:firstLine="645"/>
    </w:pPr>
    <w:rPr>
      <w:rFonts w:ascii="Arial" w:hAnsi="Arial" w:eastAsia="仿宋_GB2312" w:cs="Arial"/>
      <w:color w:val="FFFF00"/>
      <w:sz w:val="32"/>
      <w:szCs w:val="32"/>
    </w:rPr>
  </w:style>
  <w:style w:type="character" w:customStyle="1" w:styleId="281">
    <w:name w:val="正文文本缩进 Char"/>
    <w:link w:val="265"/>
    <w:qFormat/>
    <w:uiPriority w:val="0"/>
    <w:rPr>
      <w:rFonts w:ascii="楷体_GB2312" w:hAnsi="Times New Roman" w:eastAsia="楷体_GB2312" w:cs="Times New Roman"/>
      <w:sz w:val="32"/>
      <w:szCs w:val="32"/>
    </w:rPr>
  </w:style>
  <w:style w:type="character" w:customStyle="1" w:styleId="282">
    <w:name w:val="纯文本 Char"/>
    <w:link w:val="283"/>
    <w:qFormat/>
    <w:uiPriority w:val="0"/>
    <w:rPr>
      <w:rFonts w:ascii="宋体" w:hAnsi="Courier New" w:eastAsia="宋体" w:cs="Courier New"/>
      <w:szCs w:val="21"/>
    </w:rPr>
  </w:style>
  <w:style w:type="paragraph" w:customStyle="1" w:styleId="283">
    <w:name w:val="纯文本1"/>
    <w:basedOn w:val="1"/>
    <w:link w:val="282"/>
    <w:qFormat/>
    <w:uiPriority w:val="0"/>
    <w:rPr>
      <w:rFonts w:ascii="宋体" w:hAnsi="Courier New" w:cs="Courier New"/>
    </w:rPr>
  </w:style>
  <w:style w:type="character" w:customStyle="1" w:styleId="284">
    <w:name w:val="标题 1 Char"/>
    <w:link w:val="233"/>
    <w:qFormat/>
    <w:uiPriority w:val="0"/>
    <w:rPr>
      <w:rFonts w:ascii="楷体_GB2312" w:hAnsi="Times New Roman" w:eastAsia="楷体_GB2312" w:cs="Times New Roman"/>
      <w:sz w:val="28"/>
      <w:szCs w:val="28"/>
    </w:rPr>
  </w:style>
  <w:style w:type="character" w:customStyle="1" w:styleId="285">
    <w:name w:val="标题 2 Char"/>
    <w:link w:val="234"/>
    <w:qFormat/>
    <w:uiPriority w:val="0"/>
    <w:rPr>
      <w:rFonts w:ascii="Arial" w:hAnsi="Arial" w:eastAsia="幼圆" w:cs="Arial"/>
      <w:b/>
      <w:bCs/>
      <w:sz w:val="44"/>
      <w:szCs w:val="44"/>
    </w:rPr>
  </w:style>
  <w:style w:type="character" w:customStyle="1" w:styleId="286">
    <w:name w:val="标题 9 Char"/>
    <w:link w:val="240"/>
    <w:qFormat/>
    <w:uiPriority w:val="0"/>
    <w:rPr>
      <w:rFonts w:ascii="Arial" w:hAnsi="Arial" w:eastAsia="黑体" w:cs="Times New Roman"/>
      <w:szCs w:val="21"/>
    </w:rPr>
  </w:style>
  <w:style w:type="character" w:customStyle="1" w:styleId="287">
    <w:name w:val="正文文本缩进 2 Char"/>
    <w:link w:val="288"/>
    <w:qFormat/>
    <w:uiPriority w:val="0"/>
    <w:rPr>
      <w:rFonts w:ascii="Arial" w:hAnsi="Arial" w:eastAsia="仿宋_GB2312" w:cs="Arial"/>
      <w:sz w:val="32"/>
      <w:szCs w:val="32"/>
    </w:rPr>
  </w:style>
  <w:style w:type="paragraph" w:customStyle="1" w:styleId="288">
    <w:name w:val="正文文本缩进 21"/>
    <w:basedOn w:val="1"/>
    <w:link w:val="287"/>
    <w:qFormat/>
    <w:uiPriority w:val="0"/>
    <w:pPr>
      <w:ind w:left="630" w:firstLine="645"/>
    </w:pPr>
    <w:rPr>
      <w:rFonts w:ascii="Arial" w:hAnsi="Arial" w:eastAsia="仿宋_GB2312" w:cs="Arial"/>
      <w:sz w:val="32"/>
      <w:szCs w:val="32"/>
    </w:rPr>
  </w:style>
  <w:style w:type="character" w:customStyle="1" w:styleId="289">
    <w:name w:val="正文文本 2 Char"/>
    <w:link w:val="249"/>
    <w:qFormat/>
    <w:uiPriority w:val="0"/>
    <w:rPr>
      <w:rFonts w:ascii="楷体_GB2312" w:hAnsi="Times New Roman" w:eastAsia="楷体_GB2312" w:cs="Times New Roman"/>
      <w:sz w:val="28"/>
      <w:szCs w:val="28"/>
    </w:rPr>
  </w:style>
  <w:style w:type="character" w:customStyle="1" w:styleId="290">
    <w:name w:val="批注主题 Char"/>
    <w:link w:val="291"/>
    <w:semiHidden/>
    <w:qFormat/>
    <w:uiPriority w:val="0"/>
    <w:rPr>
      <w:rFonts w:ascii="Times New Roman" w:hAnsi="Times New Roman" w:eastAsia="宋体" w:cs="Times New Roman"/>
      <w:b/>
      <w:bCs/>
      <w:szCs w:val="21"/>
    </w:rPr>
  </w:style>
  <w:style w:type="paragraph" w:customStyle="1" w:styleId="291">
    <w:name w:val="批注主题1"/>
    <w:basedOn w:val="268"/>
    <w:next w:val="268"/>
    <w:link w:val="290"/>
    <w:semiHidden/>
    <w:qFormat/>
    <w:uiPriority w:val="0"/>
    <w:rPr>
      <w:b/>
      <w:bCs/>
    </w:rPr>
  </w:style>
  <w:style w:type="character" w:customStyle="1" w:styleId="292">
    <w:name w:val="正文首行缩进 Char"/>
    <w:link w:val="293"/>
    <w:qFormat/>
    <w:uiPriority w:val="0"/>
    <w:rPr>
      <w:rFonts w:ascii="仿宋_GB2312" w:hAnsi="Times New Roman" w:eastAsia="仿宋_GB2312" w:cs="Times New Roman"/>
      <w:sz w:val="30"/>
      <w:szCs w:val="30"/>
    </w:rPr>
  </w:style>
  <w:style w:type="paragraph" w:customStyle="1" w:styleId="293">
    <w:name w:val="正文首行缩进1"/>
    <w:basedOn w:val="1"/>
    <w:link w:val="292"/>
    <w:qFormat/>
    <w:uiPriority w:val="0"/>
    <w:pPr>
      <w:spacing w:line="360" w:lineRule="auto"/>
      <w:ind w:firstLine="200"/>
    </w:pPr>
    <w:rPr>
      <w:rFonts w:ascii="仿宋_GB2312" w:eastAsia="仿宋_GB2312"/>
      <w:sz w:val="30"/>
      <w:szCs w:val="30"/>
    </w:rPr>
  </w:style>
  <w:style w:type="paragraph" w:customStyle="1" w:styleId="294">
    <w:name w:val="table_lines"/>
    <w:basedOn w:val="1"/>
    <w:qFormat/>
    <w:uiPriority w:val="0"/>
    <w:pPr>
      <w:widowControl/>
      <w:jc w:val="left"/>
    </w:pPr>
    <w:rPr>
      <w:sz w:val="20"/>
      <w:szCs w:val="20"/>
      <w:lang w:val="de-DE" w:eastAsia="de-DE"/>
    </w:rPr>
  </w:style>
  <w:style w:type="paragraph" w:customStyle="1" w:styleId="295">
    <w:name w:val="Char"/>
    <w:basedOn w:val="278"/>
    <w:qFormat/>
    <w:uiPriority w:val="0"/>
    <w:rPr>
      <w:rFonts w:ascii="Tahoma" w:hAnsi="Tahoma"/>
      <w:sz w:val="24"/>
      <w:szCs w:val="24"/>
    </w:rPr>
  </w:style>
  <w:style w:type="paragraph" w:customStyle="1" w:styleId="296">
    <w:name w:val="索引 11"/>
    <w:basedOn w:val="1"/>
    <w:next w:val="1"/>
    <w:semiHidden/>
    <w:qFormat/>
    <w:uiPriority w:val="0"/>
    <w:pPr>
      <w:spacing w:line="240" w:lineRule="atLeast"/>
    </w:pPr>
    <w:rPr>
      <w:b/>
      <w:bCs/>
    </w:rPr>
  </w:style>
  <w:style w:type="paragraph" w:customStyle="1" w:styleId="297">
    <w:name w:val="目录 51"/>
    <w:basedOn w:val="1"/>
    <w:next w:val="1"/>
    <w:semiHidden/>
    <w:qFormat/>
    <w:uiPriority w:val="0"/>
    <w:pPr>
      <w:ind w:left="840"/>
      <w:jc w:val="left"/>
    </w:pPr>
  </w:style>
  <w:style w:type="paragraph" w:customStyle="1" w:styleId="298">
    <w:name w:val="Char Char Char Char"/>
    <w:basedOn w:val="278"/>
    <w:qFormat/>
    <w:uiPriority w:val="0"/>
    <w:pPr>
      <w:spacing w:line="360" w:lineRule="auto"/>
    </w:pPr>
    <w:rPr>
      <w:rFonts w:ascii="Tahoma" w:hAnsi="Tahoma"/>
      <w:sz w:val="24"/>
      <w:szCs w:val="24"/>
    </w:rPr>
  </w:style>
  <w:style w:type="paragraph" w:customStyle="1" w:styleId="299">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00">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1">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目录 81"/>
    <w:basedOn w:val="1"/>
    <w:next w:val="1"/>
    <w:semiHidden/>
    <w:qFormat/>
    <w:uiPriority w:val="0"/>
    <w:pPr>
      <w:ind w:left="1470"/>
      <w:jc w:val="left"/>
    </w:pPr>
  </w:style>
  <w:style w:type="paragraph" w:customStyle="1" w:styleId="305">
    <w:name w:val="目录 91"/>
    <w:basedOn w:val="1"/>
    <w:next w:val="1"/>
    <w:semiHidden/>
    <w:qFormat/>
    <w:uiPriority w:val="0"/>
    <w:pPr>
      <w:ind w:left="1680"/>
      <w:jc w:val="left"/>
    </w:pPr>
  </w:style>
  <w:style w:type="paragraph" w:customStyle="1" w:styleId="306">
    <w:name w:val="Char1"/>
    <w:basedOn w:val="1"/>
    <w:qFormat/>
    <w:uiPriority w:val="0"/>
    <w:pPr>
      <w:tabs>
        <w:tab w:val="left" w:pos="360"/>
      </w:tabs>
      <w:ind w:firstLine="200"/>
    </w:pPr>
    <w:rPr>
      <w:sz w:val="28"/>
      <w:szCs w:val="30"/>
    </w:rPr>
  </w:style>
  <w:style w:type="paragraph" w:customStyle="1" w:styleId="30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9">
    <w:name w:val="Char Char Char Char Char Char Char Char Char Char"/>
    <w:basedOn w:val="1"/>
    <w:qFormat/>
    <w:uiPriority w:val="0"/>
    <w:pPr>
      <w:spacing w:line="360" w:lineRule="auto"/>
    </w:pPr>
    <w:rPr>
      <w:sz w:val="24"/>
      <w:szCs w:val="20"/>
    </w:rPr>
  </w:style>
  <w:style w:type="paragraph" w:customStyle="1" w:styleId="3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1">
    <w:name w:val="table_1stline"/>
    <w:basedOn w:val="1"/>
    <w:qFormat/>
    <w:uiPriority w:val="0"/>
    <w:pPr>
      <w:widowControl/>
      <w:spacing w:before="120"/>
      <w:jc w:val="left"/>
    </w:pPr>
    <w:rPr>
      <w:bCs/>
      <w:sz w:val="20"/>
      <w:szCs w:val="20"/>
      <w:lang w:val="de-DE" w:eastAsia="de-DE"/>
    </w:rPr>
  </w:style>
  <w:style w:type="paragraph" w:customStyle="1" w:styleId="31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3">
    <w:name w:val="目录 31"/>
    <w:basedOn w:val="1"/>
    <w:next w:val="1"/>
    <w:semiHidden/>
    <w:qFormat/>
    <w:uiPriority w:val="0"/>
    <w:pPr>
      <w:ind w:left="420"/>
      <w:jc w:val="left"/>
    </w:pPr>
    <w:rPr>
      <w:i/>
      <w:iCs/>
      <w:szCs w:val="24"/>
    </w:rPr>
  </w:style>
  <w:style w:type="paragraph" w:customStyle="1" w:styleId="314">
    <w:name w:val="目录 61"/>
    <w:basedOn w:val="1"/>
    <w:next w:val="1"/>
    <w:semiHidden/>
    <w:qFormat/>
    <w:uiPriority w:val="0"/>
    <w:pPr>
      <w:ind w:left="1050"/>
      <w:jc w:val="left"/>
    </w:pPr>
  </w:style>
  <w:style w:type="paragraph" w:customStyle="1" w:styleId="315">
    <w:name w:val="目录 71"/>
    <w:basedOn w:val="1"/>
    <w:next w:val="1"/>
    <w:semiHidden/>
    <w:qFormat/>
    <w:uiPriority w:val="0"/>
    <w:pPr>
      <w:ind w:left="1260"/>
      <w:jc w:val="left"/>
    </w:pPr>
  </w:style>
  <w:style w:type="paragraph" w:customStyle="1" w:styleId="316">
    <w:name w:val="附录1"/>
    <w:qFormat/>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customStyle="1" w:styleId="31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8">
    <w:name w:val="列表 31"/>
    <w:basedOn w:val="1"/>
    <w:qFormat/>
    <w:uiPriority w:val="0"/>
    <w:pPr>
      <w:ind w:left="100" w:hanging="200"/>
    </w:pPr>
  </w:style>
  <w:style w:type="paragraph" w:customStyle="1" w:styleId="31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2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1">
    <w:name w:val="目录 41"/>
    <w:basedOn w:val="1"/>
    <w:next w:val="1"/>
    <w:semiHidden/>
    <w:qFormat/>
    <w:uiPriority w:val="0"/>
    <w:pPr>
      <w:ind w:left="630"/>
      <w:jc w:val="left"/>
    </w:pPr>
  </w:style>
  <w:style w:type="paragraph" w:customStyle="1" w:styleId="322">
    <w:name w:val="4"/>
    <w:basedOn w:val="1"/>
    <w:next w:val="280"/>
    <w:qFormat/>
    <w:uiPriority w:val="0"/>
    <w:pPr>
      <w:spacing w:line="360" w:lineRule="auto"/>
      <w:ind w:firstLine="420"/>
    </w:pPr>
    <w:rPr>
      <w:color w:val="FF0000"/>
      <w:sz w:val="24"/>
      <w:szCs w:val="24"/>
    </w:rPr>
  </w:style>
  <w:style w:type="paragraph" w:customStyle="1" w:styleId="323">
    <w:name w:val="列表 21"/>
    <w:basedOn w:val="1"/>
    <w:qFormat/>
    <w:uiPriority w:val="0"/>
    <w:pPr>
      <w:ind w:left="100" w:hanging="200"/>
    </w:pPr>
  </w:style>
  <w:style w:type="paragraph" w:customStyle="1" w:styleId="324">
    <w:name w:val="目录 21"/>
    <w:basedOn w:val="1"/>
    <w:next w:val="1"/>
    <w:semiHidden/>
    <w:qFormat/>
    <w:uiPriority w:val="0"/>
    <w:pPr>
      <w:ind w:left="210"/>
      <w:jc w:val="left"/>
    </w:pPr>
    <w:rPr>
      <w:smallCaps/>
      <w:szCs w:val="24"/>
    </w:rPr>
  </w:style>
  <w:style w:type="paragraph" w:customStyle="1" w:styleId="325">
    <w:name w:val="Char Char Char Char1"/>
    <w:basedOn w:val="278"/>
    <w:qFormat/>
    <w:uiPriority w:val="0"/>
    <w:pPr>
      <w:spacing w:line="360" w:lineRule="auto"/>
    </w:pPr>
    <w:rPr>
      <w:rFonts w:ascii="Tahoma" w:hAnsi="Tahoma"/>
      <w:sz w:val="24"/>
      <w:szCs w:val="24"/>
    </w:rPr>
  </w:style>
  <w:style w:type="paragraph" w:customStyle="1" w:styleId="32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7">
    <w:name w:val="Body Text(ch)"/>
    <w:basedOn w:val="1"/>
    <w:next w:val="248"/>
    <w:qFormat/>
    <w:uiPriority w:val="0"/>
    <w:pPr>
      <w:spacing w:after="120"/>
    </w:pPr>
    <w:rPr>
      <w:rFonts w:ascii="宋体" w:hAnsi="Arial"/>
      <w:bCs/>
      <w:iCs/>
      <w:szCs w:val="24"/>
    </w:rPr>
  </w:style>
  <w:style w:type="paragraph" w:customStyle="1" w:styleId="328">
    <w:name w:val="列表1"/>
    <w:basedOn w:val="1"/>
    <w:qFormat/>
    <w:uiPriority w:val="0"/>
    <w:pPr>
      <w:ind w:left="200" w:hanging="200"/>
    </w:pPr>
  </w:style>
  <w:style w:type="paragraph" w:customStyle="1" w:styleId="329">
    <w:name w:val="样式1"/>
    <w:basedOn w:val="1"/>
    <w:qFormat/>
    <w:uiPriority w:val="0"/>
    <w:pPr>
      <w:numPr>
        <w:ilvl w:val="0"/>
        <w:numId w:val="5"/>
      </w:numPr>
    </w:pPr>
    <w:rPr>
      <w:rFonts w:ascii="宋体" w:hAnsi="宋体"/>
    </w:rPr>
  </w:style>
  <w:style w:type="paragraph" w:customStyle="1" w:styleId="33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2">
    <w:name w:val="图表目录1"/>
    <w:basedOn w:val="1"/>
    <w:next w:val="1"/>
    <w:semiHidden/>
    <w:qFormat/>
    <w:uiPriority w:val="0"/>
    <w:pPr>
      <w:ind w:left="840" w:hanging="420"/>
    </w:pPr>
  </w:style>
  <w:style w:type="paragraph" w:customStyle="1" w:styleId="33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9">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0">
    <w:name w:val="正文1"/>
    <w:basedOn w:val="1"/>
    <w:next w:val="1"/>
    <w:qFormat/>
    <w:uiPriority w:val="99"/>
    <w:pPr>
      <w:spacing w:line="440" w:lineRule="exact"/>
      <w:ind w:firstLine="480"/>
    </w:pPr>
    <w:rPr>
      <w:rFonts w:ascii="微软雅黑" w:hAnsi="微软雅黑" w:eastAsia="微软雅黑"/>
      <w:sz w:val="24"/>
      <w:szCs w:val="20"/>
    </w:rPr>
  </w:style>
  <w:style w:type="table" w:customStyle="1" w:styleId="341">
    <w:name w:val="网格型1"/>
    <w:basedOn w:val="242"/>
    <w:qFormat/>
    <w:uiPriority w:val="0"/>
    <w:pPr>
      <w:widowControl w:val="0"/>
      <w:jc w:val="both"/>
    </w:pPr>
    <w:rPr>
      <w:rFonts w:ascii="Times New Roman" w:hAnsi="Times New Roman"/>
    </w:rPr>
  </w:style>
  <w:style w:type="character" w:customStyle="1" w:styleId="342">
    <w:name w:val="正文文本 Char1"/>
    <w:basedOn w:val="40"/>
    <w:semiHidden/>
    <w:qFormat/>
    <w:uiPriority w:val="99"/>
    <w:rPr>
      <w:rFonts w:ascii="Times New Roman" w:hAnsi="Times New Roman"/>
      <w:sz w:val="21"/>
      <w:szCs w:val="21"/>
    </w:rPr>
  </w:style>
  <w:style w:type="paragraph" w:customStyle="1" w:styleId="343">
    <w:name w:val="正文2"/>
    <w:basedOn w:val="1"/>
    <w:qFormat/>
    <w:uiPriority w:val="0"/>
    <w:pPr>
      <w:tabs>
        <w:tab w:val="left" w:pos="6480"/>
      </w:tabs>
      <w:spacing w:line="360" w:lineRule="auto"/>
    </w:pPr>
    <w:rPr>
      <w:sz w:val="24"/>
      <w:szCs w:val="24"/>
    </w:rPr>
  </w:style>
  <w:style w:type="paragraph" w:customStyle="1" w:styleId="344">
    <w:name w:val="1 正文"/>
    <w:basedOn w:val="1"/>
    <w:qFormat/>
    <w:uiPriority w:val="0"/>
    <w:pPr>
      <w:spacing w:line="360" w:lineRule="auto"/>
      <w:ind w:firstLine="420"/>
    </w:pPr>
    <w:rPr>
      <w:rFonts w:ascii="宋体" w:hAnsi="宋体"/>
      <w:sz w:val="24"/>
      <w:szCs w:val="24"/>
    </w:rPr>
  </w:style>
  <w:style w:type="paragraph" w:customStyle="1" w:styleId="345">
    <w:name w:val="A正文"/>
    <w:basedOn w:val="1"/>
    <w:qFormat/>
    <w:uiPriority w:val="0"/>
    <w:pPr>
      <w:spacing w:line="360" w:lineRule="auto"/>
      <w:ind w:firstLine="200"/>
    </w:pPr>
    <w:rPr>
      <w:rFonts w:cs="宋体"/>
      <w:sz w:val="24"/>
      <w:szCs w:val="28"/>
      <w:lang w:eastAsia="zh-Hans"/>
    </w:rPr>
  </w:style>
  <w:style w:type="paragraph" w:customStyle="1" w:styleId="346">
    <w:name w:val="列出段落11"/>
    <w:qFormat/>
    <w:uiPriority w:val="34"/>
    <w:pPr>
      <w:widowControl w:val="0"/>
      <w:ind w:firstLine="420"/>
      <w:jc w:val="both"/>
    </w:pPr>
    <w:rPr>
      <w:rFonts w:hint="default" w:ascii="宋体" w:hAnsi="宋体" w:eastAsia="宋体" w:cs="Times New Roman"/>
      <w:sz w:val="24"/>
      <w:szCs w:val="24"/>
      <w:lang w:val="en-US" w:eastAsia="zh-CN" w:bidi="ar-SA"/>
    </w:rPr>
  </w:style>
  <w:style w:type="paragraph" w:customStyle="1" w:styleId="347">
    <w:name w:val="列表段落1"/>
    <w:qFormat/>
    <w:uiPriority w:val="34"/>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348">
    <w:name w:val="UserStyle_16"/>
    <w:qFormat/>
    <w:uiPriority w:val="0"/>
    <w:pPr>
      <w:spacing w:line="360" w:lineRule="auto"/>
      <w:ind w:firstLine="283"/>
      <w:jc w:val="both"/>
    </w:pPr>
    <w:rPr>
      <w:rFonts w:hint="default" w:ascii="宋体" w:hAnsi="宋体" w:eastAsia="宋体" w:cs="Times New Roman"/>
      <w:sz w:val="24"/>
      <w:szCs w:val="21"/>
      <w:lang w:val="en-US" w:eastAsia="zh-CN" w:bidi="ar-SA"/>
    </w:rPr>
  </w:style>
  <w:style w:type="character" w:customStyle="1" w:styleId="349">
    <w:name w:val="UserStyle_11"/>
    <w:qFormat/>
    <w:uiPriority w:val="0"/>
    <w:rPr>
      <w:sz w:val="21"/>
      <w:szCs w:val="21"/>
      <w:lang w:val="en-US" w:eastAsia="zh-CN" w:bidi="ar-SA"/>
    </w:rPr>
  </w:style>
  <w:style w:type="character" w:customStyle="1" w:styleId="350">
    <w:name w:val="NormalCharacter"/>
    <w:qFormat/>
    <w:uiPriority w:val="0"/>
  </w:style>
  <w:style w:type="character" w:customStyle="1" w:styleId="351">
    <w:name w:val="font41"/>
    <w:basedOn w:val="40"/>
    <w:qFormat/>
    <w:uiPriority w:val="0"/>
    <w:rPr>
      <w:rFonts w:hint="eastAsia" w:ascii="宋体" w:hAnsi="宋体" w:eastAsia="宋体" w:cs="宋体"/>
      <w:color w:val="000000"/>
      <w:sz w:val="20"/>
      <w:szCs w:val="20"/>
      <w:u w:val="none"/>
    </w:rPr>
  </w:style>
  <w:style w:type="character" w:customStyle="1" w:styleId="352">
    <w:name w:val="font131"/>
    <w:basedOn w:val="40"/>
    <w:qFormat/>
    <w:uiPriority w:val="0"/>
    <w:rPr>
      <w:rFonts w:ascii="Wingdings 2" w:hAnsi="Wingdings 2" w:eastAsia="Wingdings 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59</Pages>
  <Words>18620</Words>
  <Characters>19849</Characters>
  <TotalTime>9</TotalTime>
  <ScaleCrop>false</ScaleCrop>
  <LinksUpToDate>false</LinksUpToDate>
  <CharactersWithSpaces>20562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2023-12-04T02:59:00Z</dcterms:created>
  <dc:creator>赵国</dc:creator>
  <cp:lastModifiedBy>方头大狮子</cp:lastModifiedBy>
  <dcterms:modified xsi:type="dcterms:W3CDTF">2025-11-20T08:41:57Z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F7C808B7394F44F48D967B7E41C86DC3_13</vt:lpwstr>
  </property>
  <property fmtid="{D5CDD505-2E9C-101B-9397-08002B2CF9AE}" pid="4" name="KSOTemplateDocerSaveRecord">
    <vt:lpwstr>eyJoZGlkIjoiZWU0MTFmYzZmZDM2ZGViNDAyYTRhODI2YzUyYjg2ZjMiLCJ1c2VySWQiOiIyMzk1MjI1ODEifQ==</vt:lpwstr>
  </property>
</Properties>
</file>